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00" w:firstLineChars="200"/>
        <w:rPr>
          <w:rFonts w:hint="eastAsia" w:ascii="宋体" w:hAnsi="宋体" w:eastAsia="宋体" w:cs="宋体"/>
          <w:sz w:val="15"/>
          <w:szCs w:val="15"/>
          <w:u w:val="single"/>
        </w:rPr>
      </w:pPr>
    </w:p>
    <w:p>
      <w:pPr>
        <w:spacing w:line="360" w:lineRule="auto"/>
        <w:ind w:firstLine="301" w:firstLineChars="200"/>
        <w:rPr>
          <w:rFonts w:hint="eastAsia" w:ascii="宋体" w:hAnsi="宋体" w:eastAsia="宋体" w:cs="宋体"/>
          <w:b/>
          <w:bCs/>
          <w:sz w:val="15"/>
          <w:szCs w:val="15"/>
          <w:u w:val="singl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jc w:val="center"/>
        <w:textAlignment w:val="auto"/>
        <w:rPr>
          <w:rFonts w:hint="eastAsia" w:ascii="宋体" w:hAnsi="宋体" w:eastAsia="宋体" w:cs="华文中宋"/>
          <w:b/>
          <w:bCs/>
          <w:kern w:val="0"/>
          <w:sz w:val="48"/>
          <w:szCs w:val="48"/>
          <w:highlight w:val="none"/>
          <w:lang w:eastAsia="zh-CN"/>
        </w:rPr>
      </w:pPr>
      <w:r>
        <w:rPr>
          <w:rFonts w:hint="eastAsia" w:ascii="宋体" w:hAnsi="宋体" w:cs="华文中宋"/>
          <w:b/>
          <w:bCs/>
          <w:kern w:val="0"/>
          <w:sz w:val="48"/>
          <w:szCs w:val="48"/>
          <w:highlight w:val="none"/>
          <w:lang w:eastAsia="zh-CN"/>
        </w:rPr>
        <w:t>山东省临沂卫生学校扩建项目图书信息综合楼</w:t>
      </w:r>
      <w:r>
        <w:rPr>
          <w:rFonts w:hint="eastAsia" w:ascii="宋体" w:hAnsi="宋体" w:cs="华文中宋"/>
          <w:b/>
          <w:bCs/>
          <w:kern w:val="0"/>
          <w:sz w:val="48"/>
          <w:szCs w:val="48"/>
          <w:highlight w:val="none"/>
          <w:lang w:val="en-US" w:eastAsia="zh-CN"/>
        </w:rPr>
        <w:t>B区</w:t>
      </w:r>
      <w:r>
        <w:rPr>
          <w:rFonts w:hint="eastAsia" w:ascii="宋体" w:hAnsi="宋体" w:cs="华文中宋"/>
          <w:b/>
          <w:bCs/>
          <w:kern w:val="0"/>
          <w:sz w:val="48"/>
          <w:szCs w:val="48"/>
          <w:highlight w:val="none"/>
          <w:lang w:eastAsia="zh-CN"/>
        </w:rPr>
        <w:t>图书馆及大厅装饰工程</w:t>
      </w:r>
    </w:p>
    <w:p>
      <w:pPr>
        <w:spacing w:line="360" w:lineRule="auto"/>
        <w:ind w:left="1080" w:leftChars="257" w:hanging="540"/>
        <w:jc w:val="center"/>
        <w:rPr>
          <w:rFonts w:hint="eastAsia" w:ascii="宋体" w:hAnsi="宋体" w:eastAsia="宋体" w:cs="华文中宋"/>
          <w:b/>
          <w:sz w:val="56"/>
          <w:szCs w:val="56"/>
          <w:highlight w:val="none"/>
          <w:lang w:eastAsia="zh-CN"/>
        </w:rPr>
      </w:pPr>
    </w:p>
    <w:p>
      <w:pPr>
        <w:spacing w:line="360" w:lineRule="auto"/>
        <w:ind w:left="1080" w:leftChars="257" w:hanging="540"/>
        <w:jc w:val="center"/>
        <w:rPr>
          <w:rFonts w:hint="eastAsia" w:ascii="宋体" w:hAnsi="宋体" w:eastAsia="宋体" w:cs="华文中宋"/>
          <w:b/>
          <w:kern w:val="0"/>
          <w:sz w:val="72"/>
          <w:szCs w:val="72"/>
          <w:highlight w:val="none"/>
          <w:lang w:eastAsia="zh-CN"/>
        </w:rPr>
      </w:pPr>
      <w:r>
        <w:rPr>
          <w:rFonts w:hint="eastAsia" w:ascii="宋体" w:hAnsi="宋体" w:eastAsia="宋体" w:cs="华文中宋"/>
          <w:b/>
          <w:sz w:val="72"/>
          <w:szCs w:val="72"/>
          <w:highlight w:val="none"/>
          <w:lang w:eastAsia="zh-CN"/>
        </w:rPr>
        <w:t>公开</w:t>
      </w:r>
      <w:r>
        <w:rPr>
          <w:rFonts w:hint="eastAsia" w:ascii="宋体" w:hAnsi="宋体" w:cs="华文中宋"/>
          <w:b/>
          <w:sz w:val="72"/>
          <w:szCs w:val="72"/>
          <w:highlight w:val="none"/>
          <w:lang w:eastAsia="zh-CN"/>
        </w:rPr>
        <w:t>招标文件</w:t>
      </w:r>
    </w:p>
    <w:p>
      <w:pPr>
        <w:pStyle w:val="15"/>
        <w:ind w:left="0" w:leftChars="0" w:firstLine="0" w:firstLineChars="0"/>
        <w:rPr>
          <w:rFonts w:hint="eastAsia"/>
          <w:highlight w:val="none"/>
        </w:rPr>
      </w:pPr>
    </w:p>
    <w:p>
      <w:pPr>
        <w:pStyle w:val="15"/>
        <w:rPr>
          <w:rFonts w:hint="eastAsia"/>
          <w:highlight w:val="none"/>
        </w:rPr>
      </w:pPr>
    </w:p>
    <w:p>
      <w:pPr>
        <w:spacing w:line="500" w:lineRule="exact"/>
        <w:jc w:val="center"/>
        <w:rPr>
          <w:rFonts w:hint="eastAsia" w:ascii="宋体" w:hAnsi="宋体" w:eastAsia="宋体" w:cs="宋体"/>
          <w:sz w:val="24"/>
          <w:highlight w:val="none"/>
        </w:rPr>
      </w:pPr>
      <w:r>
        <w:rPr>
          <w:rFonts w:hint="eastAsia" w:ascii="宋体" w:hAnsi="宋体" w:eastAsia="宋体" w:cs="宋体"/>
          <w:b/>
          <w:sz w:val="36"/>
          <w:szCs w:val="36"/>
          <w:highlight w:val="none"/>
          <w:lang w:val="zh-CN"/>
        </w:rPr>
        <w:t>项目编号：</w:t>
      </w:r>
      <w:r>
        <w:rPr>
          <w:rFonts w:hint="eastAsia" w:ascii="宋体" w:hAnsi="宋体" w:cs="宋体"/>
          <w:b/>
          <w:sz w:val="36"/>
          <w:szCs w:val="36"/>
          <w:highlight w:val="none"/>
          <w:lang w:val="zh-CN"/>
        </w:rPr>
        <w:t>SDGP371300202102000930</w:t>
      </w:r>
    </w:p>
    <w:p>
      <w:pPr>
        <w:pStyle w:val="40"/>
        <w:rPr>
          <w:rFonts w:hint="eastAsia" w:ascii="宋体" w:hAnsi="宋体" w:eastAsia="宋体" w:cs="宋体"/>
          <w:highlight w:val="none"/>
        </w:rPr>
      </w:pPr>
    </w:p>
    <w:p>
      <w:pPr>
        <w:pStyle w:val="40"/>
        <w:rPr>
          <w:rFonts w:hint="eastAsia" w:ascii="宋体" w:hAnsi="宋体" w:eastAsia="宋体" w:cs="宋体"/>
          <w:highlight w:val="none"/>
        </w:rPr>
      </w:pPr>
    </w:p>
    <w:p>
      <w:pPr>
        <w:pStyle w:val="40"/>
        <w:rPr>
          <w:rFonts w:hint="eastAsia" w:ascii="宋体" w:hAnsi="宋体" w:eastAsia="宋体" w:cs="宋体"/>
          <w:highlight w:val="none"/>
        </w:rPr>
      </w:pPr>
    </w:p>
    <w:p>
      <w:pPr>
        <w:pStyle w:val="40"/>
        <w:rPr>
          <w:rFonts w:hint="eastAsia" w:ascii="宋体" w:hAnsi="宋体" w:eastAsia="宋体" w:cs="宋体"/>
        </w:rPr>
      </w:pPr>
    </w:p>
    <w:p>
      <w:pPr>
        <w:spacing w:line="600" w:lineRule="auto"/>
        <w:jc w:val="center"/>
        <w:rPr>
          <w:rFonts w:hint="eastAsia" w:ascii="宋体" w:hAnsi="宋体" w:eastAsia="宋体" w:cs="宋体"/>
          <w:sz w:val="28"/>
          <w:szCs w:val="30"/>
        </w:rPr>
      </w:pPr>
    </w:p>
    <w:p>
      <w:pPr>
        <w:jc w:val="center"/>
        <w:rPr>
          <w:rFonts w:hint="eastAsia" w:ascii="宋体" w:hAnsi="宋体" w:eastAsia="宋体" w:cs="宋体"/>
          <w:szCs w:val="21"/>
        </w:rPr>
      </w:pPr>
    </w:p>
    <w:p>
      <w:pPr>
        <w:jc w:val="both"/>
        <w:rPr>
          <w:rFonts w:hint="eastAsia" w:ascii="宋体" w:hAnsi="宋体" w:eastAsia="宋体" w:cs="宋体"/>
          <w:sz w:val="72"/>
          <w:szCs w:val="84"/>
        </w:rPr>
      </w:pPr>
    </w:p>
    <w:p>
      <w:pPr>
        <w:spacing w:line="600" w:lineRule="auto"/>
        <w:rPr>
          <w:rFonts w:hint="eastAsia" w:ascii="宋体" w:hAnsi="宋体" w:eastAsia="宋体" w:cs="宋体"/>
          <w:sz w:val="28"/>
          <w:szCs w:val="30"/>
        </w:rPr>
      </w:pPr>
    </w:p>
    <w:p>
      <w:pPr>
        <w:pStyle w:val="40"/>
        <w:rPr>
          <w:rFonts w:hint="eastAsia" w:ascii="宋体" w:hAnsi="宋体" w:eastAsia="宋体" w:cs="宋体"/>
        </w:rPr>
      </w:pPr>
    </w:p>
    <w:p>
      <w:pPr>
        <w:pStyle w:val="40"/>
        <w:rPr>
          <w:rFonts w:hint="eastAsia" w:ascii="宋体" w:hAnsi="宋体" w:eastAsia="宋体" w:cs="宋体"/>
        </w:rPr>
      </w:pPr>
    </w:p>
    <w:p>
      <w:pPr>
        <w:pStyle w:val="40"/>
        <w:rPr>
          <w:rFonts w:hint="eastAsia" w:ascii="宋体" w:hAnsi="宋体" w:eastAsia="宋体" w:cs="宋体"/>
        </w:rPr>
      </w:pPr>
    </w:p>
    <w:p>
      <w:pPr>
        <w:pStyle w:val="4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黑体"/>
          <w:b/>
          <w:bCs/>
          <w:kern w:val="0"/>
          <w:sz w:val="32"/>
          <w:szCs w:val="32"/>
          <w:lang w:eastAsia="zh-CN"/>
        </w:rPr>
      </w:pPr>
      <w:r>
        <w:rPr>
          <w:rFonts w:hint="eastAsia" w:ascii="宋体" w:hAnsi="宋体" w:cs="黑体"/>
          <w:b/>
          <w:bCs/>
          <w:kern w:val="0"/>
          <w:sz w:val="32"/>
          <w:szCs w:val="32"/>
          <w:lang w:val="en-US" w:eastAsia="zh-CN"/>
        </w:rPr>
        <w:t>采   购</w:t>
      </w:r>
      <w:r>
        <w:rPr>
          <w:rFonts w:hint="eastAsia" w:ascii="宋体" w:hAnsi="宋体" w:eastAsia="宋体" w:cs="黑体"/>
          <w:b/>
          <w:bCs/>
          <w:kern w:val="0"/>
          <w:sz w:val="32"/>
          <w:szCs w:val="32"/>
          <w:lang w:eastAsia="zh-CN"/>
        </w:rPr>
        <w:t xml:space="preserve">  人：</w:t>
      </w:r>
      <w:r>
        <w:rPr>
          <w:rFonts w:hint="eastAsia" w:ascii="宋体" w:hAnsi="宋体" w:eastAsia="宋体" w:cs="黑体"/>
          <w:b/>
          <w:bCs/>
          <w:spacing w:val="20"/>
          <w:kern w:val="0"/>
          <w:sz w:val="32"/>
          <w:szCs w:val="32"/>
          <w:lang w:eastAsia="zh-CN"/>
        </w:rPr>
        <w:t>山东省临沂卫生学校</w:t>
      </w:r>
    </w:p>
    <w:p>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黑体"/>
          <w:b/>
          <w:bCs/>
          <w:kern w:val="0"/>
          <w:sz w:val="32"/>
          <w:szCs w:val="32"/>
          <w:lang w:eastAsia="zh-CN"/>
        </w:rPr>
      </w:pPr>
      <w:r>
        <w:rPr>
          <w:rFonts w:hint="eastAsia" w:ascii="宋体" w:hAnsi="宋体" w:eastAsia="宋体" w:cs="黑体"/>
          <w:b/>
          <w:bCs/>
          <w:kern w:val="0"/>
          <w:sz w:val="32"/>
          <w:szCs w:val="32"/>
          <w:lang w:eastAsia="zh-CN"/>
        </w:rPr>
        <w:t>代 理 机 构：</w:t>
      </w:r>
      <w:r>
        <w:rPr>
          <w:rFonts w:hint="eastAsia" w:ascii="宋体" w:hAnsi="宋体" w:cs="黑体"/>
          <w:b/>
          <w:bCs/>
          <w:kern w:val="0"/>
          <w:sz w:val="32"/>
          <w:szCs w:val="32"/>
          <w:lang w:eastAsia="zh-CN"/>
        </w:rPr>
        <w:t>临沂正旭建设项目管理有限公司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left"/>
        <w:textAlignment w:val="auto"/>
        <w:rPr>
          <w:rFonts w:hint="eastAsia" w:ascii="宋体" w:hAnsi="宋体" w:eastAsia="宋体" w:cs="黑体"/>
          <w:b/>
          <w:bCs/>
          <w:kern w:val="0"/>
          <w:sz w:val="32"/>
          <w:szCs w:val="32"/>
          <w:lang w:eastAsia="zh-CN"/>
        </w:rPr>
      </w:pPr>
      <w:r>
        <w:rPr>
          <w:rFonts w:hint="eastAsia" w:ascii="宋体" w:hAnsi="宋体" w:eastAsia="宋体" w:cs="黑体"/>
          <w:b/>
          <w:bCs/>
          <w:kern w:val="0"/>
          <w:sz w:val="32"/>
          <w:szCs w:val="32"/>
          <w:lang w:eastAsia="zh-CN"/>
        </w:rPr>
        <w:t xml:space="preserve">日   </w:t>
      </w:r>
      <w:r>
        <w:rPr>
          <w:rFonts w:hint="eastAsia" w:ascii="宋体" w:hAnsi="宋体" w:cs="黑体"/>
          <w:b/>
          <w:bCs/>
          <w:kern w:val="0"/>
          <w:sz w:val="32"/>
          <w:szCs w:val="32"/>
          <w:lang w:val="en-US" w:eastAsia="zh-CN"/>
        </w:rPr>
        <w:t xml:space="preserve">   </w:t>
      </w:r>
      <w:r>
        <w:rPr>
          <w:rFonts w:hint="eastAsia" w:ascii="宋体" w:hAnsi="宋体" w:eastAsia="宋体" w:cs="黑体"/>
          <w:b/>
          <w:bCs/>
          <w:kern w:val="0"/>
          <w:sz w:val="32"/>
          <w:szCs w:val="32"/>
          <w:lang w:eastAsia="zh-CN"/>
        </w:rPr>
        <w:t xml:space="preserve"> 期：二〇二一年十一月</w:t>
      </w:r>
    </w:p>
    <w:p>
      <w:pPr>
        <w:spacing w:before="100" w:beforeAutospacing="1" w:after="100" w:afterAutospacing="1" w:line="600" w:lineRule="exact"/>
        <w:jc w:val="center"/>
        <w:rPr>
          <w:rFonts w:hint="eastAsia" w:ascii="宋体" w:hAnsi="宋体" w:eastAsia="宋体" w:cs="宋体"/>
          <w:b/>
          <w:bCs/>
          <w:sz w:val="44"/>
          <w:szCs w:val="44"/>
        </w:rPr>
        <w:sectPr>
          <w:headerReference r:id="rId4" w:type="first"/>
          <w:headerReference r:id="rId3" w:type="default"/>
          <w:pgSz w:w="11911" w:h="16838"/>
          <w:pgMar w:top="1134" w:right="1134" w:bottom="1134" w:left="1134" w:header="680" w:footer="850" w:gutter="0"/>
          <w:pgNumType w:fmt="decimal"/>
          <w:cols w:space="720" w:num="1"/>
          <w:titlePg/>
          <w:rtlGutter w:val="0"/>
          <w:docGrid w:linePitch="0" w:charSpace="0"/>
        </w:sectPr>
      </w:pPr>
    </w:p>
    <w:p>
      <w:pPr>
        <w:spacing w:before="100" w:beforeAutospacing="1" w:after="100" w:afterAutospacing="1"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目  录</w:t>
      </w:r>
    </w:p>
    <w:p>
      <w:pPr>
        <w:pStyle w:val="23"/>
        <w:tabs>
          <w:tab w:val="left" w:pos="840"/>
          <w:tab w:val="right" w:leader="dot" w:pos="9089"/>
        </w:tabs>
        <w:rPr>
          <w:rFonts w:hint="eastAsia" w:ascii="宋体" w:hAnsi="宋体" w:eastAsia="宋体" w:cs="宋体"/>
          <w:b w:val="0"/>
          <w:bCs w:val="0"/>
          <w:caps w:val="0"/>
          <w:sz w:val="21"/>
          <w:szCs w:val="22"/>
        </w:rPr>
      </w:pPr>
      <w:r>
        <w:rPr>
          <w:rFonts w:hint="eastAsia" w:ascii="宋体" w:hAnsi="宋体" w:eastAsia="宋体" w:cs="宋体"/>
          <w:sz w:val="24"/>
        </w:rPr>
        <w:fldChar w:fldCharType="begin"/>
      </w:r>
      <w:r>
        <w:rPr>
          <w:rFonts w:hint="eastAsia" w:ascii="宋体" w:hAnsi="宋体" w:eastAsia="宋体" w:cs="宋体"/>
          <w:sz w:val="24"/>
        </w:rPr>
        <w:instrText xml:space="preserve"> TOC \o "1-3" \h \z \u </w:instrText>
      </w:r>
      <w:r>
        <w:rPr>
          <w:rFonts w:hint="eastAsia" w:ascii="宋体" w:hAnsi="宋体" w:eastAsia="宋体" w:cs="宋体"/>
          <w:sz w:val="24"/>
        </w:rPr>
        <w:fldChar w:fldCharType="separate"/>
      </w:r>
      <w:r>
        <w:rPr>
          <w:rFonts w:hint="eastAsia" w:ascii="宋体" w:hAnsi="宋体" w:eastAsia="宋体" w:cs="宋体"/>
        </w:rPr>
        <w:fldChar w:fldCharType="begin"/>
      </w:r>
      <w:r>
        <w:rPr>
          <w:rFonts w:hint="eastAsia" w:ascii="宋体" w:hAnsi="宋体" w:eastAsia="宋体" w:cs="宋体"/>
        </w:rPr>
        <w:instrText xml:space="preserve">HYPERLINK  \l "_Toc76741782" </w:instrText>
      </w:r>
      <w:r>
        <w:rPr>
          <w:rFonts w:hint="eastAsia" w:ascii="宋体" w:hAnsi="宋体" w:eastAsia="宋体" w:cs="宋体"/>
        </w:rPr>
        <w:fldChar w:fldCharType="separate"/>
      </w:r>
      <w:r>
        <w:rPr>
          <w:rStyle w:val="38"/>
          <w:rFonts w:hint="eastAsia" w:ascii="宋体" w:hAnsi="宋体" w:eastAsia="宋体" w:cs="宋体"/>
          <w:kern w:val="44"/>
        </w:rPr>
        <w:t>第一章</w:t>
      </w:r>
      <w:r>
        <w:rPr>
          <w:rFonts w:hint="eastAsia" w:ascii="宋体" w:hAnsi="宋体" w:eastAsia="宋体" w:cs="宋体"/>
          <w:b w:val="0"/>
          <w:bCs w:val="0"/>
          <w:caps w:val="0"/>
          <w:sz w:val="21"/>
          <w:szCs w:val="22"/>
        </w:rPr>
        <w:tab/>
      </w:r>
      <w:r>
        <w:rPr>
          <w:rStyle w:val="38"/>
          <w:rFonts w:hint="eastAsia" w:ascii="宋体" w:hAnsi="宋体" w:eastAsia="宋体" w:cs="宋体"/>
          <w:kern w:val="44"/>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9089"/>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"_Toc76741783" </w:instrText>
      </w:r>
      <w:r>
        <w:rPr>
          <w:rFonts w:hint="eastAsia" w:ascii="宋体" w:hAnsi="宋体" w:eastAsia="宋体" w:cs="宋体"/>
        </w:rPr>
        <w:fldChar w:fldCharType="separate"/>
      </w:r>
      <w:r>
        <w:rPr>
          <w:rStyle w:val="38"/>
          <w:rFonts w:hint="eastAsia" w:ascii="宋体" w:hAnsi="宋体" w:eastAsia="宋体" w:cs="宋体"/>
          <w:kern w:val="44"/>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"_Toc76741784" </w:instrText>
      </w:r>
      <w:r>
        <w:rPr>
          <w:rFonts w:hint="eastAsia" w:ascii="宋体" w:hAnsi="宋体" w:eastAsia="宋体" w:cs="宋体"/>
        </w:rPr>
        <w:fldChar w:fldCharType="separate"/>
      </w:r>
      <w:r>
        <w:rPr>
          <w:rStyle w:val="38"/>
          <w:rFonts w:hint="eastAsia" w:ascii="宋体" w:hAnsi="宋体" w:eastAsia="宋体" w:cs="宋体"/>
        </w:rPr>
        <w:t>一、总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"_Toc76741785" </w:instrText>
      </w:r>
      <w:r>
        <w:rPr>
          <w:rFonts w:hint="eastAsia" w:ascii="宋体" w:hAnsi="宋体" w:eastAsia="宋体" w:cs="宋体"/>
        </w:rPr>
        <w:fldChar w:fldCharType="separate"/>
      </w:r>
      <w:r>
        <w:rPr>
          <w:rStyle w:val="38"/>
          <w:rFonts w:hint="eastAsia" w:ascii="宋体" w:hAnsi="宋体" w:eastAsia="宋体" w:cs="宋体"/>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"_Toc76741786" </w:instrText>
      </w:r>
      <w:r>
        <w:rPr>
          <w:rFonts w:hint="eastAsia" w:ascii="宋体" w:hAnsi="宋体" w:eastAsia="宋体" w:cs="宋体"/>
        </w:rPr>
        <w:fldChar w:fldCharType="separate"/>
      </w:r>
      <w:r>
        <w:rPr>
          <w:rStyle w:val="38"/>
          <w:rFonts w:hint="eastAsia" w:ascii="宋体" w:hAnsi="宋体" w:eastAsia="宋体" w:cs="宋体"/>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"_Toc76741787" </w:instrText>
      </w:r>
      <w:r>
        <w:rPr>
          <w:rFonts w:hint="eastAsia" w:ascii="宋体" w:hAnsi="宋体" w:eastAsia="宋体" w:cs="宋体"/>
        </w:rPr>
        <w:fldChar w:fldCharType="separate"/>
      </w:r>
      <w:r>
        <w:rPr>
          <w:rStyle w:val="38"/>
          <w:rFonts w:hint="eastAsia" w:ascii="宋体" w:hAnsi="宋体" w:eastAsia="宋体" w:cs="宋体"/>
        </w:rPr>
        <w:t>五、开标、评标与定标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"_Toc76741788" </w:instrText>
      </w:r>
      <w:r>
        <w:rPr>
          <w:rFonts w:hint="eastAsia" w:ascii="宋体" w:hAnsi="宋体" w:eastAsia="宋体" w:cs="宋体"/>
        </w:rPr>
        <w:fldChar w:fldCharType="separate"/>
      </w:r>
      <w:r>
        <w:rPr>
          <w:rStyle w:val="38"/>
          <w:rFonts w:hint="eastAsia" w:ascii="宋体" w:hAnsi="宋体" w:eastAsia="宋体" w:cs="宋体"/>
        </w:rPr>
        <w:t>六、合同的授予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9089"/>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"_Toc76741789" </w:instrText>
      </w:r>
      <w:r>
        <w:rPr>
          <w:rFonts w:hint="eastAsia" w:ascii="宋体" w:hAnsi="宋体" w:eastAsia="宋体" w:cs="宋体"/>
        </w:rPr>
        <w:fldChar w:fldCharType="separate"/>
      </w:r>
      <w:r>
        <w:rPr>
          <w:rStyle w:val="38"/>
          <w:rFonts w:hint="eastAsia" w:ascii="宋体" w:hAnsi="宋体" w:eastAsia="宋体" w:cs="宋体"/>
          <w:kern w:val="44"/>
        </w:rPr>
        <w:t>第三章  项目概况及要求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_Toc76741789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9089"/>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"_Toc76741791" </w:instrText>
      </w:r>
      <w:r>
        <w:rPr>
          <w:rFonts w:hint="eastAsia" w:ascii="宋体" w:hAnsi="宋体" w:eastAsia="宋体" w:cs="宋体"/>
        </w:rPr>
        <w:fldChar w:fldCharType="separate"/>
      </w:r>
      <w:r>
        <w:rPr>
          <w:rStyle w:val="38"/>
          <w:rFonts w:hint="eastAsia" w:ascii="宋体" w:hAnsi="宋体" w:eastAsia="宋体" w:cs="宋体"/>
          <w:kern w:val="44"/>
        </w:rPr>
        <w:t>第四章  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_Toc76741791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"_Toc76741792" </w:instrText>
      </w:r>
      <w:r>
        <w:rPr>
          <w:rFonts w:hint="eastAsia" w:ascii="宋体" w:hAnsi="宋体" w:eastAsia="宋体" w:cs="宋体"/>
        </w:rPr>
        <w:fldChar w:fldCharType="separate"/>
      </w:r>
      <w:r>
        <w:rPr>
          <w:rStyle w:val="38"/>
          <w:rFonts w:hint="eastAsia" w:ascii="宋体" w:hAnsi="宋体" w:eastAsia="宋体" w:cs="宋体"/>
          <w:b/>
          <w:bCs/>
          <w:kern w:val="1"/>
        </w:rPr>
        <w:t>一、授予合同前调整</w:t>
      </w:r>
      <w:r>
        <w:rPr>
          <w:rStyle w:val="38"/>
          <w:rFonts w:hint="eastAsia" w:ascii="宋体" w:hAnsi="宋体" w:eastAsia="宋体" w:cs="宋体"/>
          <w:b/>
          <w:bCs/>
        </w:rPr>
        <w:t>服务内容</w:t>
      </w:r>
      <w:r>
        <w:rPr>
          <w:rStyle w:val="38"/>
          <w:rFonts w:hint="eastAsia" w:ascii="宋体" w:hAnsi="宋体" w:eastAsia="宋体" w:cs="宋体"/>
          <w:b/>
          <w:bCs/>
          <w:kern w:val="1"/>
        </w:rPr>
        <w:t>的权力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_Toc76741792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"_Toc76741793" </w:instrText>
      </w:r>
      <w:r>
        <w:rPr>
          <w:rFonts w:hint="eastAsia" w:ascii="宋体" w:hAnsi="宋体" w:eastAsia="宋体" w:cs="宋体"/>
        </w:rPr>
        <w:fldChar w:fldCharType="separate"/>
      </w:r>
      <w:r>
        <w:rPr>
          <w:rStyle w:val="38"/>
          <w:rFonts w:hint="eastAsia" w:ascii="宋体" w:hAnsi="宋体" w:eastAsia="宋体" w:cs="宋体"/>
          <w:b/>
          <w:bCs/>
          <w:kern w:val="1"/>
        </w:rPr>
        <w:t>二、中标通知书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_Toc76741793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27"/>
        <w:tabs>
          <w:tab w:val="right" w:leader="dot" w:pos="9089"/>
        </w:tabs>
        <w:rPr>
          <w:rFonts w:hint="eastAsia" w:ascii="宋体" w:hAnsi="宋体" w:eastAsia="宋体" w:cs="宋体"/>
          <w:small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"_Toc76741794" </w:instrText>
      </w:r>
      <w:r>
        <w:rPr>
          <w:rFonts w:hint="eastAsia" w:ascii="宋体" w:hAnsi="宋体" w:eastAsia="宋体" w:cs="宋体"/>
        </w:rPr>
        <w:fldChar w:fldCharType="separate"/>
      </w:r>
      <w:r>
        <w:rPr>
          <w:rStyle w:val="38"/>
          <w:rFonts w:hint="eastAsia" w:ascii="宋体" w:hAnsi="宋体" w:eastAsia="宋体" w:cs="宋体"/>
          <w:b/>
          <w:bCs/>
          <w:kern w:val="1"/>
        </w:rPr>
        <w:t>三、签订合同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_Toc76741794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rPr>
        <w:fldChar w:fldCharType="end"/>
      </w:r>
    </w:p>
    <w:p>
      <w:pPr>
        <w:pStyle w:val="23"/>
        <w:tabs>
          <w:tab w:val="right" w:leader="dot" w:pos="9089"/>
        </w:tabs>
        <w:rPr>
          <w:rFonts w:hint="eastAsia" w:ascii="宋体" w:hAnsi="宋体" w:eastAsia="宋体" w:cs="宋体"/>
          <w:b w:val="0"/>
          <w:bCs w:val="0"/>
          <w:caps w:val="0"/>
          <w:sz w:val="21"/>
          <w:szCs w:val="22"/>
        </w:rPr>
      </w:pPr>
      <w:r>
        <w:rPr>
          <w:rFonts w:hint="eastAsia" w:ascii="宋体" w:hAnsi="宋体" w:eastAsia="宋体" w:cs="宋体"/>
        </w:rPr>
        <w:fldChar w:fldCharType="begin"/>
      </w:r>
      <w:r>
        <w:rPr>
          <w:rFonts w:hint="eastAsia" w:ascii="宋体" w:hAnsi="宋体" w:eastAsia="宋体" w:cs="宋体"/>
        </w:rPr>
        <w:instrText xml:space="preserve">HYPERLINK  \l "_Toc76741795" </w:instrText>
      </w:r>
      <w:r>
        <w:rPr>
          <w:rFonts w:hint="eastAsia" w:ascii="宋体" w:hAnsi="宋体" w:eastAsia="宋体" w:cs="宋体"/>
        </w:rPr>
        <w:fldChar w:fldCharType="separate"/>
      </w:r>
      <w:r>
        <w:rPr>
          <w:rStyle w:val="38"/>
          <w:rFonts w:hint="eastAsia" w:ascii="宋体" w:hAnsi="宋体" w:eastAsia="宋体" w:cs="宋体"/>
          <w:kern w:val="44"/>
        </w:rPr>
        <w:t>第五章  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_Toc76741795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rPr>
        <w:fldChar w:fldCharType="end"/>
      </w:r>
    </w:p>
    <w:p>
      <w:pPr>
        <w:spacing w:line="600" w:lineRule="auto"/>
        <w:ind w:right="979" w:rightChars="466" w:firstLine="420" w:firstLineChars="200"/>
        <w:rPr>
          <w:rFonts w:hint="eastAsia" w:ascii="宋体" w:hAnsi="宋体" w:eastAsia="宋体" w:cs="宋体"/>
        </w:rPr>
      </w:pPr>
      <w:r>
        <w:rPr>
          <w:rFonts w:hint="eastAsia" w:ascii="宋体" w:hAnsi="宋体" w:eastAsia="宋体" w:cs="宋体"/>
        </w:rPr>
        <w:fldChar w:fldCharType="end"/>
      </w:r>
    </w:p>
    <w:p>
      <w:pPr>
        <w:rPr>
          <w:rFonts w:hint="eastAsia"/>
        </w:rPr>
      </w:pPr>
    </w:p>
    <w:p>
      <w:pPr>
        <w:rPr>
          <w:rFonts w:hint="eastAsia" w:ascii="宋体" w:hAnsi="宋体" w:eastAsia="宋体" w:cs="宋体"/>
        </w:rPr>
      </w:pPr>
    </w:p>
    <w:p>
      <w:pPr>
        <w:pStyle w:val="15"/>
        <w:rPr>
          <w:rFonts w:hint="eastAsia"/>
        </w:rPr>
      </w:pPr>
    </w:p>
    <w:p>
      <w:pPr>
        <w:rPr>
          <w:rFonts w:hint="eastAsia" w:ascii="宋体" w:hAnsi="宋体" w:eastAsia="宋体" w:cs="宋体"/>
          <w:b/>
          <w:bCs/>
          <w:w w:val="95"/>
          <w:sz w:val="32"/>
          <w:szCs w:val="32"/>
        </w:rPr>
      </w:pPr>
      <w:r>
        <w:rPr>
          <w:rFonts w:hint="eastAsia" w:ascii="宋体" w:hAnsi="宋体" w:eastAsia="宋体" w:cs="宋体"/>
          <w:b/>
          <w:bCs/>
          <w:w w:val="95"/>
          <w:sz w:val="32"/>
          <w:szCs w:val="32"/>
        </w:rPr>
        <w:br w:type="page"/>
      </w:r>
    </w:p>
    <w:p>
      <w:pPr>
        <w:spacing w:line="360" w:lineRule="auto"/>
        <w:jc w:val="center"/>
        <w:rPr>
          <w:rFonts w:hint="eastAsia" w:ascii="宋体" w:hAnsi="宋体" w:eastAsia="宋体" w:cs="宋体"/>
          <w:b/>
          <w:bCs/>
          <w:w w:val="95"/>
          <w:sz w:val="32"/>
          <w:szCs w:val="32"/>
        </w:rPr>
      </w:pPr>
      <w:r>
        <w:rPr>
          <w:rFonts w:hint="eastAsia" w:ascii="宋体" w:hAnsi="宋体" w:eastAsia="宋体" w:cs="宋体"/>
          <w:b/>
          <w:bCs/>
          <w:w w:val="95"/>
          <w:sz w:val="32"/>
          <w:szCs w:val="32"/>
        </w:rPr>
        <w:t>投标提示</w:t>
      </w:r>
    </w:p>
    <w:p>
      <w:pPr>
        <w:jc w:val="left"/>
        <w:rPr>
          <w:rFonts w:hint="eastAsia"/>
          <w:w w:val="95"/>
          <w:sz w:val="28"/>
          <w:szCs w:val="28"/>
        </w:rPr>
      </w:pPr>
    </w:p>
    <w:p>
      <w:pPr>
        <w:spacing w:line="360" w:lineRule="auto"/>
        <w:jc w:val="left"/>
        <w:rPr>
          <w:rFonts w:hint="eastAsia" w:ascii="宋体" w:hAnsi="宋体" w:eastAsia="宋体" w:cs="宋体"/>
          <w:b/>
          <w:bCs/>
          <w:w w:val="95"/>
          <w:sz w:val="28"/>
          <w:szCs w:val="28"/>
        </w:rPr>
      </w:pPr>
      <w:r>
        <w:rPr>
          <w:rFonts w:hint="eastAsia" w:ascii="宋体" w:hAnsi="宋体" w:eastAsia="宋体" w:cs="宋体"/>
          <w:b/>
          <w:bCs/>
          <w:w w:val="95"/>
          <w:sz w:val="28"/>
          <w:szCs w:val="28"/>
        </w:rPr>
        <w:t xml:space="preserve"> </w:t>
      </w:r>
      <w:r>
        <w:rPr>
          <w:rFonts w:hint="eastAsia" w:ascii="宋体" w:hAnsi="宋体" w:eastAsia="宋体" w:cs="宋体"/>
          <w:b/>
          <w:bCs/>
          <w:w w:val="95"/>
          <w:sz w:val="28"/>
          <w:szCs w:val="28"/>
          <w:lang w:val="en-US" w:eastAsia="zh-CN"/>
        </w:rPr>
        <w:t xml:space="preserve">  </w:t>
      </w:r>
      <w:r>
        <w:rPr>
          <w:rFonts w:hint="eastAsia" w:ascii="宋体" w:hAnsi="宋体" w:eastAsia="宋体" w:cs="宋体"/>
          <w:b/>
          <w:bCs/>
          <w:w w:val="95"/>
          <w:sz w:val="28"/>
          <w:szCs w:val="28"/>
        </w:rPr>
        <w:t>根据《关于深化公共资源交易平台整合共享的指导意见》(国办函〔2019〕41 号)、《关于积极应对疫情创新做好招投标工作保障经济平稳运行的通知》(发改电2020〕170 号)、《临沂市人民政府关于持续深入优化营商环境的实施意见》(临政字〔2020〕70 号)、临沂市公共资源交易工作领导小组办公室《关于实行公共资源交易不见面开标的通知》等文件要求，我市各类公共资源交易项目全部实行“不见面”开标，不再现场递交投标文件。投标企业登录临沂市公共资源交易中心网站,按照“办事指南”中“临沂市不见面开标及远程评标操作手册"下载“不见面开标投标人操作手册.doc”并按照其要求,做好相关准备工作。各投标企业的法定代表授权委托代理人不需到开标现场参与本项目开标活动。但委托代理人必须是投标企业本单位职工,并且能够熟练的操作新点不见面开标系统,操作人不按操作规程、不熟悉开标系统由此造成开标不成功的后果由企业自行承担。各投标企业需于投标截止时间之前将加密版电子文件上传至电子招投标交易平台,且各投标人在投标（预审）截止时间后 30 分钟内登陆临沂市公共资源交易中心网电子招投标交易平台解密， 过时视为投标书未送达。</w:t>
      </w:r>
    </w:p>
    <w:p>
      <w:pPr>
        <w:spacing w:line="360" w:lineRule="auto"/>
        <w:ind w:firstLine="534" w:firstLineChars="200"/>
        <w:jc w:val="left"/>
        <w:rPr>
          <w:rFonts w:hint="eastAsia" w:ascii="宋体" w:hAnsi="宋体" w:eastAsia="宋体" w:cs="宋体"/>
          <w:b/>
          <w:bCs/>
          <w:w w:val="95"/>
          <w:sz w:val="28"/>
          <w:szCs w:val="28"/>
        </w:rPr>
      </w:pPr>
      <w:r>
        <w:rPr>
          <w:rFonts w:hint="eastAsia" w:ascii="宋体" w:hAnsi="宋体" w:eastAsia="宋体" w:cs="宋体"/>
          <w:b/>
          <w:bCs/>
          <w:w w:val="95"/>
          <w:sz w:val="28"/>
          <w:szCs w:val="28"/>
        </w:rPr>
        <w:t>系统使用技术问题请拨打电话：0539-8770063  0539-8770139。</w:t>
      </w: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pStyle w:val="15"/>
        <w:ind w:left="0" w:leftChars="0" w:firstLine="0" w:firstLineChars="0"/>
        <w:rPr>
          <w:rFonts w:hint="eastAsia"/>
        </w:rPr>
      </w:pPr>
    </w:p>
    <w:p>
      <w:pPr>
        <w:keepNext/>
        <w:keepLines/>
        <w:numPr>
          <w:ilvl w:val="0"/>
          <w:numId w:val="1"/>
        </w:numPr>
        <w:spacing w:line="800" w:lineRule="exact"/>
        <w:jc w:val="center"/>
        <w:outlineLvl w:val="0"/>
        <w:rPr>
          <w:rFonts w:hint="eastAsia" w:ascii="宋体" w:hAnsi="宋体" w:eastAsia="宋体" w:cs="宋体"/>
          <w:color w:val="000000"/>
          <w:kern w:val="44"/>
          <w:sz w:val="32"/>
          <w:szCs w:val="32"/>
        </w:rPr>
      </w:pPr>
      <w:bookmarkStart w:id="0" w:name="_Toc76741782"/>
      <w:bookmarkStart w:id="1" w:name="OLE_LINK1"/>
      <w:r>
        <w:rPr>
          <w:rFonts w:hint="eastAsia" w:ascii="宋体" w:hAnsi="宋体" w:eastAsia="宋体" w:cs="宋体"/>
          <w:color w:val="000000"/>
          <w:kern w:val="44"/>
          <w:sz w:val="32"/>
          <w:szCs w:val="32"/>
        </w:rPr>
        <w:t>招标公告</w:t>
      </w:r>
      <w:bookmarkEnd w:id="0"/>
    </w:p>
    <w:p>
      <w:pPr>
        <w:pStyle w:val="40"/>
        <w:rPr>
          <w:w w:val="95"/>
        </w:rPr>
      </w:pPr>
    </w:p>
    <w:tbl>
      <w:tblPr>
        <w:tblStyle w:val="32"/>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0" w:type="dxa"/>
          <w:bottom w:w="0" w:type="dxa"/>
          <w:right w:w="0" w:type="dxa"/>
        </w:tblCellMar>
      </w:tblPr>
      <w:tblGrid>
        <w:gridCol w:w="96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0" w:type="dxa"/>
            <w:bottom w:w="0" w:type="dxa"/>
            <w:right w:w="0" w:type="dxa"/>
          </w:tblCellMar>
        </w:tblPrEx>
        <w:trPr>
          <w:trHeight w:val="480" w:hRule="atLeast"/>
        </w:trPr>
        <w:tc>
          <w:tcPr>
            <w:tcW w:w="0" w:type="auto"/>
            <w:tcBorders>
              <w:top w:val="outset" w:color="auto" w:sz="6" w:space="0"/>
              <w:left w:val="outset" w:color="auto" w:sz="6" w:space="0"/>
              <w:bottom w:val="outset" w:color="auto" w:sz="6" w:space="0"/>
              <w:right w:val="outset" w:color="auto" w:sz="6" w:space="0"/>
            </w:tcBorders>
            <w:noWrap w:val="0"/>
            <w:tcMar>
              <w:top w:w="0" w:type="dxa"/>
            </w:tcMar>
            <w:vAlign w:val="center"/>
          </w:tcPr>
          <w:p>
            <w:pPr>
              <w:widowControl/>
              <w:spacing w:line="18" w:lineRule="atLeast"/>
              <w:ind w:firstLine="60"/>
              <w:jc w:val="left"/>
              <w:rPr>
                <w:rFonts w:hint="eastAsia" w:ascii="宋体" w:hAnsi="宋体" w:cs="宋体"/>
                <w:szCs w:val="24"/>
              </w:rPr>
            </w:pPr>
            <w:r>
              <w:rPr>
                <w:rFonts w:hint="eastAsia" w:ascii="宋体" w:hAnsi="宋体" w:cs="宋体"/>
                <w:b/>
                <w:bCs/>
                <w:kern w:val="0"/>
                <w:szCs w:val="24"/>
                <w:lang w:bidi="ar"/>
              </w:rPr>
              <w:t>项目概况：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0" w:type="dxa"/>
            <w:bottom w:w="0" w:type="dxa"/>
            <w:right w:w="0" w:type="dxa"/>
          </w:tblCellMar>
        </w:tblPrEx>
        <w:trPr>
          <w:trHeight w:val="1635" w:hRule="atLeast"/>
        </w:trPr>
        <w:tc>
          <w:tcPr>
            <w:tcW w:w="0" w:type="auto"/>
            <w:tcBorders>
              <w:top w:val="outset" w:color="auto" w:sz="6" w:space="0"/>
              <w:left w:val="outset" w:color="auto" w:sz="6" w:space="0"/>
              <w:bottom w:val="outset" w:color="auto" w:sz="6" w:space="0"/>
              <w:right w:val="outset" w:color="auto" w:sz="6" w:space="0"/>
            </w:tcBorders>
            <w:noWrap w:val="0"/>
            <w:tcMar>
              <w:top w:w="0" w:type="dxa"/>
            </w:tcMar>
            <w:vAlign w:val="center"/>
          </w:tcPr>
          <w:p>
            <w:pPr>
              <w:widowControl/>
              <w:spacing w:line="18" w:lineRule="atLeast"/>
              <w:ind w:firstLine="544" w:firstLineChars="227"/>
              <w:jc w:val="left"/>
              <w:rPr>
                <w:rFonts w:hint="eastAsia" w:ascii="宋体" w:hAnsi="宋体" w:cs="宋体"/>
                <w:sz w:val="24"/>
                <w:szCs w:val="24"/>
              </w:rPr>
            </w:pPr>
            <w:r>
              <w:rPr>
                <w:rFonts w:hint="eastAsia" w:ascii="宋体" w:hAnsi="宋体" w:eastAsia="宋体" w:cs="宋体"/>
                <w:kern w:val="0"/>
                <w:sz w:val="24"/>
                <w:szCs w:val="24"/>
                <w:lang w:eastAsia="zh-CN" w:bidi="ar"/>
              </w:rPr>
              <w:t>山东省临沂卫生学校扩建项目图书信息综合楼</w:t>
            </w:r>
            <w:r>
              <w:rPr>
                <w:rFonts w:hint="eastAsia" w:ascii="宋体" w:hAnsi="宋体" w:cs="宋体"/>
                <w:kern w:val="0"/>
                <w:sz w:val="24"/>
                <w:szCs w:val="24"/>
                <w:lang w:val="en-US" w:eastAsia="zh-CN" w:bidi="ar"/>
              </w:rPr>
              <w:t>B区</w:t>
            </w:r>
            <w:r>
              <w:rPr>
                <w:rFonts w:hint="eastAsia" w:ascii="宋体" w:hAnsi="宋体" w:eastAsia="宋体" w:cs="宋体"/>
                <w:kern w:val="0"/>
                <w:sz w:val="24"/>
                <w:szCs w:val="24"/>
                <w:lang w:eastAsia="zh-CN" w:bidi="ar"/>
              </w:rPr>
              <w:t>图书馆</w:t>
            </w:r>
            <w:r>
              <w:rPr>
                <w:rFonts w:hint="eastAsia" w:ascii="宋体" w:hAnsi="宋体" w:cs="宋体"/>
                <w:kern w:val="0"/>
                <w:sz w:val="24"/>
                <w:szCs w:val="24"/>
                <w:lang w:eastAsia="zh-CN" w:bidi="ar"/>
              </w:rPr>
              <w:t>及大厅</w:t>
            </w:r>
            <w:r>
              <w:rPr>
                <w:rFonts w:hint="eastAsia" w:ascii="宋体" w:hAnsi="宋体" w:eastAsia="宋体" w:cs="宋体"/>
                <w:kern w:val="0"/>
                <w:sz w:val="24"/>
                <w:szCs w:val="24"/>
                <w:lang w:eastAsia="zh-CN" w:bidi="ar"/>
              </w:rPr>
              <w:t>装饰工程</w:t>
            </w:r>
            <w:r>
              <w:rPr>
                <w:rFonts w:hint="eastAsia" w:ascii="宋体" w:hAnsi="宋体" w:cs="宋体"/>
                <w:kern w:val="0"/>
                <w:sz w:val="24"/>
                <w:szCs w:val="24"/>
                <w:lang w:bidi="ar"/>
              </w:rPr>
              <w:t>的潜在投标人应在临沂市公共资源交易网(http://ggzyjy.linyi.gov.cn)及山东省政府采购信息公开平台（http://www.ccgp-s</w:t>
            </w:r>
            <w:r>
              <w:rPr>
                <w:rFonts w:hint="eastAsia" w:ascii="宋体" w:hAnsi="宋体" w:cs="宋体"/>
                <w:color w:val="auto"/>
                <w:kern w:val="0"/>
                <w:sz w:val="24"/>
                <w:szCs w:val="24"/>
                <w:lang w:bidi="ar"/>
              </w:rPr>
              <w:t>handong.gov.cn）获取招标文件，并于</w:t>
            </w:r>
            <w:r>
              <w:rPr>
                <w:rFonts w:hint="eastAsia" w:ascii="宋体" w:hAnsi="宋体" w:cs="宋体"/>
                <w:color w:val="auto"/>
                <w:kern w:val="0"/>
                <w:sz w:val="24"/>
                <w:szCs w:val="24"/>
                <w:highlight w:val="none"/>
                <w:lang w:bidi="ar"/>
              </w:rPr>
              <w:t>2021-1</w:t>
            </w: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 xml:space="preserve">21 </w:t>
            </w:r>
            <w:r>
              <w:rPr>
                <w:rFonts w:hint="eastAsia" w:ascii="宋体" w:hAnsi="宋体" w:cs="宋体"/>
                <w:color w:val="auto"/>
                <w:kern w:val="0"/>
                <w:sz w:val="24"/>
                <w:szCs w:val="24"/>
                <w:highlight w:val="none"/>
                <w:lang w:bidi="ar"/>
              </w:rPr>
              <w:t xml:space="preserve"> </w:t>
            </w:r>
            <w:r>
              <w:rPr>
                <w:rFonts w:hint="eastAsia" w:ascii="宋体" w:hAnsi="宋体" w:cs="宋体"/>
                <w:color w:val="auto"/>
                <w:kern w:val="0"/>
                <w:sz w:val="24"/>
                <w:szCs w:val="24"/>
                <w:highlight w:val="none"/>
                <w:lang w:val="en-US" w:eastAsia="zh-CN" w:bidi="ar"/>
              </w:rPr>
              <w:t>14</w:t>
            </w:r>
            <w:r>
              <w:rPr>
                <w:rFonts w:hint="eastAsia" w:ascii="宋体" w:hAnsi="宋体" w:cs="宋体"/>
                <w:color w:val="auto"/>
                <w:kern w:val="0"/>
                <w:sz w:val="24"/>
                <w:szCs w:val="24"/>
                <w:highlight w:val="none"/>
                <w:lang w:bidi="ar"/>
              </w:rPr>
              <w:t>:</w:t>
            </w:r>
            <w:r>
              <w:rPr>
                <w:rFonts w:hint="eastAsia" w:ascii="宋体" w:hAnsi="宋体" w:cs="宋体"/>
                <w:color w:val="auto"/>
                <w:kern w:val="0"/>
                <w:sz w:val="24"/>
                <w:szCs w:val="24"/>
                <w:highlight w:val="none"/>
                <w:lang w:val="en-US" w:eastAsia="zh-CN" w:bidi="ar"/>
              </w:rPr>
              <w:t>00</w:t>
            </w:r>
            <w:r>
              <w:rPr>
                <w:rFonts w:hint="eastAsia" w:ascii="宋体" w:hAnsi="宋体" w:cs="宋体"/>
                <w:color w:val="auto"/>
                <w:kern w:val="0"/>
                <w:sz w:val="24"/>
                <w:szCs w:val="24"/>
                <w:highlight w:val="none"/>
                <w:lang w:bidi="ar"/>
              </w:rPr>
              <w:t>:00（</w:t>
            </w:r>
            <w:r>
              <w:rPr>
                <w:rFonts w:hint="eastAsia" w:ascii="宋体" w:hAnsi="宋体" w:cs="宋体"/>
                <w:color w:val="auto"/>
                <w:kern w:val="0"/>
                <w:sz w:val="24"/>
                <w:szCs w:val="24"/>
                <w:lang w:bidi="ar"/>
              </w:rPr>
              <w:t>北京时间）前递交投标文件。</w:t>
            </w:r>
          </w:p>
        </w:tc>
      </w:tr>
    </w:tbl>
    <w:p>
      <w:pPr>
        <w:spacing w:line="480" w:lineRule="exact"/>
        <w:rPr>
          <w:rFonts w:hint="eastAsia" w:ascii="宋体" w:hAnsi="宋体" w:cs="宋体"/>
          <w:sz w:val="24"/>
          <w:szCs w:val="24"/>
        </w:rPr>
      </w:pPr>
      <w:r>
        <w:rPr>
          <w:rFonts w:hint="eastAsia" w:ascii="宋体" w:hAnsi="宋体" w:cs="宋体"/>
          <w:b/>
          <w:bCs/>
          <w:kern w:val="0"/>
          <w:sz w:val="24"/>
          <w:szCs w:val="24"/>
          <w:lang w:bidi="ar"/>
        </w:rPr>
        <w:t>一、项目基本情况：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kern w:val="0"/>
          <w:sz w:val="24"/>
          <w:szCs w:val="24"/>
          <w:lang w:bidi="ar"/>
        </w:rPr>
        <w:t>项目编号：</w:t>
      </w:r>
      <w:r>
        <w:rPr>
          <w:rFonts w:hint="eastAsia" w:ascii="宋体" w:hAnsi="宋体" w:cs="宋体"/>
          <w:kern w:val="0"/>
          <w:sz w:val="24"/>
          <w:szCs w:val="24"/>
          <w:highlight w:val="none"/>
          <w:lang w:eastAsia="zh-CN" w:bidi="ar"/>
        </w:rPr>
        <w:t>SDGP371300202102000930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kern w:val="0"/>
          <w:sz w:val="24"/>
          <w:szCs w:val="24"/>
          <w:lang w:bidi="ar"/>
        </w:rPr>
        <w:t>项目名称：</w:t>
      </w:r>
      <w:r>
        <w:rPr>
          <w:rFonts w:hint="eastAsia" w:ascii="宋体" w:hAnsi="宋体" w:eastAsia="宋体" w:cs="宋体"/>
          <w:kern w:val="0"/>
          <w:sz w:val="24"/>
          <w:szCs w:val="24"/>
          <w:lang w:eastAsia="zh-CN" w:bidi="ar"/>
        </w:rPr>
        <w:t>山东省临沂卫生学校扩建项目图书信息综合楼</w:t>
      </w:r>
      <w:r>
        <w:rPr>
          <w:rFonts w:hint="eastAsia" w:ascii="宋体" w:hAnsi="宋体" w:cs="宋体"/>
          <w:kern w:val="0"/>
          <w:sz w:val="24"/>
          <w:szCs w:val="24"/>
          <w:lang w:val="en-US" w:eastAsia="zh-CN" w:bidi="ar"/>
        </w:rPr>
        <w:t>B区</w:t>
      </w:r>
      <w:r>
        <w:rPr>
          <w:rFonts w:hint="eastAsia" w:ascii="宋体" w:hAnsi="宋体" w:eastAsia="宋体" w:cs="宋体"/>
          <w:kern w:val="0"/>
          <w:sz w:val="24"/>
          <w:szCs w:val="24"/>
          <w:lang w:eastAsia="zh-CN" w:bidi="ar"/>
        </w:rPr>
        <w:t>图书馆</w:t>
      </w:r>
      <w:r>
        <w:rPr>
          <w:rFonts w:hint="eastAsia" w:ascii="宋体" w:hAnsi="宋体" w:cs="宋体"/>
          <w:kern w:val="0"/>
          <w:sz w:val="24"/>
          <w:szCs w:val="24"/>
          <w:lang w:eastAsia="zh-CN" w:bidi="ar"/>
        </w:rPr>
        <w:t>及大厅</w:t>
      </w:r>
      <w:r>
        <w:rPr>
          <w:rFonts w:hint="eastAsia" w:ascii="宋体" w:hAnsi="宋体" w:eastAsia="宋体" w:cs="宋体"/>
          <w:kern w:val="0"/>
          <w:sz w:val="24"/>
          <w:szCs w:val="24"/>
          <w:lang w:eastAsia="zh-CN" w:bidi="ar"/>
        </w:rPr>
        <w:t>装饰工程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highlight w:val="none"/>
        </w:rPr>
      </w:pPr>
      <w:r>
        <w:rPr>
          <w:rFonts w:hint="eastAsia" w:ascii="宋体" w:hAnsi="宋体" w:cs="宋体"/>
          <w:kern w:val="0"/>
          <w:sz w:val="24"/>
          <w:szCs w:val="24"/>
          <w:highlight w:val="none"/>
          <w:lang w:bidi="ar"/>
        </w:rPr>
        <w:t>预算金额：</w:t>
      </w:r>
      <w:r>
        <w:rPr>
          <w:rFonts w:hint="eastAsia" w:ascii="宋体" w:hAnsi="宋体" w:cs="宋体"/>
          <w:kern w:val="0"/>
          <w:sz w:val="24"/>
          <w:szCs w:val="24"/>
          <w:highlight w:val="none"/>
          <w:lang w:val="en-US" w:eastAsia="zh-CN" w:bidi="ar"/>
        </w:rPr>
        <w:t>230</w:t>
      </w:r>
      <w:r>
        <w:rPr>
          <w:rFonts w:hint="eastAsia" w:ascii="宋体" w:hAnsi="宋体" w:cs="宋体"/>
          <w:kern w:val="0"/>
          <w:sz w:val="24"/>
          <w:szCs w:val="24"/>
          <w:highlight w:val="none"/>
          <w:lang w:bidi="ar"/>
        </w:rPr>
        <w:t>万元</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cs="宋体"/>
          <w:b/>
          <w:bCs/>
          <w:kern w:val="0"/>
          <w:sz w:val="24"/>
          <w:szCs w:val="24"/>
          <w:highlight w:val="none"/>
          <w:lang w:bidi="ar"/>
        </w:rPr>
      </w:pPr>
      <w:r>
        <w:rPr>
          <w:rFonts w:hint="eastAsia" w:ascii="宋体" w:hAnsi="宋体" w:cs="宋体"/>
          <w:b/>
          <w:bCs/>
          <w:kern w:val="0"/>
          <w:sz w:val="24"/>
          <w:szCs w:val="24"/>
          <w:highlight w:val="none"/>
          <w:lang w:bidi="ar"/>
        </w:rPr>
        <w:t>最高限价</w:t>
      </w:r>
      <w:r>
        <w:rPr>
          <w:rFonts w:hint="eastAsia" w:ascii="宋体" w:hAnsi="宋体" w:cs="宋体"/>
          <w:b/>
          <w:bCs/>
          <w:kern w:val="0"/>
          <w:sz w:val="24"/>
          <w:szCs w:val="24"/>
          <w:highlight w:val="none"/>
          <w:u w:val="none"/>
          <w:lang w:bidi="ar"/>
        </w:rPr>
        <w:t>：</w:t>
      </w:r>
      <w:r>
        <w:rPr>
          <w:rFonts w:hint="eastAsia" w:ascii="宋体" w:hAnsi="宋体" w:cs="宋体"/>
          <w:b/>
          <w:bCs/>
          <w:kern w:val="0"/>
          <w:sz w:val="24"/>
          <w:szCs w:val="24"/>
          <w:highlight w:val="none"/>
          <w:u w:val="none"/>
          <w:lang w:val="en-US" w:eastAsia="zh-CN" w:bidi="ar"/>
        </w:rPr>
        <w:t>213.47</w:t>
      </w:r>
      <w:r>
        <w:rPr>
          <w:rFonts w:hint="eastAsia" w:ascii="宋体" w:hAnsi="宋体" w:cs="宋体"/>
          <w:b/>
          <w:bCs/>
          <w:kern w:val="0"/>
          <w:sz w:val="24"/>
          <w:szCs w:val="24"/>
          <w:highlight w:val="none"/>
          <w:u w:val="none"/>
          <w:lang w:bidi="ar"/>
        </w:rPr>
        <w:t>万元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kern w:val="0"/>
          <w:sz w:val="24"/>
          <w:szCs w:val="24"/>
          <w:lang w:bidi="ar"/>
        </w:rPr>
        <w:t>采购需求：</w:t>
      </w:r>
    </w:p>
    <w:tbl>
      <w:tblPr>
        <w:tblStyle w:val="32"/>
        <w:tblpPr w:leftFromText="180" w:rightFromText="180" w:vertAnchor="text" w:horzAnchor="page" w:tblpX="1526" w:tblpY="331"/>
        <w:tblW w:w="9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2855"/>
        <w:gridCol w:w="1429"/>
        <w:gridCol w:w="3176"/>
        <w:gridCol w:w="14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s="宋体"/>
                <w:sz w:val="24"/>
                <w:szCs w:val="24"/>
              </w:rPr>
            </w:pPr>
            <w:r>
              <w:rPr>
                <w:rFonts w:hint="eastAsia" w:ascii="宋体" w:hAnsi="宋体" w:cs="宋体"/>
                <w:sz w:val="24"/>
                <w:szCs w:val="24"/>
              </w:rPr>
              <w:t>标的</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标的名称</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数量（宗）</w:t>
            </w:r>
          </w:p>
        </w:tc>
        <w:tc>
          <w:tcPr>
            <w:tcW w:w="317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简要技术需求或服务要求</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sz w:val="24"/>
                <w:szCs w:val="24"/>
              </w:rPr>
            </w:pPr>
            <w:r>
              <w:rPr>
                <w:rFonts w:hint="eastAsia" w:ascii="宋体" w:hAnsi="宋体" w:cs="宋体"/>
                <w:sz w:val="24"/>
                <w:szCs w:val="24"/>
              </w:rPr>
              <w:t>本包预算金额（单位：万元）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1" w:hRule="atLeast"/>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宋体" w:hAnsi="宋体" w:cs="宋体"/>
                <w:kern w:val="0"/>
                <w:sz w:val="24"/>
                <w:szCs w:val="24"/>
              </w:rPr>
            </w:pPr>
            <w:r>
              <w:rPr>
                <w:rFonts w:hint="eastAsia" w:ascii="宋体" w:hAnsi="宋体" w:cs="宋体"/>
                <w:kern w:val="0"/>
                <w:sz w:val="24"/>
                <w:szCs w:val="24"/>
              </w:rPr>
              <w:t>A</w:t>
            </w:r>
          </w:p>
        </w:tc>
        <w:tc>
          <w:tcPr>
            <w:tcW w:w="2855" w:type="dxa"/>
            <w:tcBorders>
              <w:top w:val="single" w:color="auto" w:sz="4" w:space="0"/>
              <w:left w:val="single" w:color="auto" w:sz="4" w:space="0"/>
              <w:bottom w:val="single" w:color="auto" w:sz="4" w:space="0"/>
              <w:right w:val="single" w:color="auto" w:sz="4" w:space="0"/>
            </w:tcBorders>
            <w:noWrap w:val="0"/>
            <w:vAlign w:val="center"/>
          </w:tcPr>
          <w:p>
            <w:pPr>
              <w:pStyle w:val="40"/>
              <w:rPr>
                <w:rFonts w:hint="eastAsia" w:eastAsia="宋体"/>
                <w:szCs w:val="24"/>
                <w:lang w:eastAsia="zh-CN"/>
              </w:rPr>
            </w:pPr>
            <w:r>
              <w:rPr>
                <w:rFonts w:hint="eastAsia" w:eastAsia="宋体"/>
                <w:szCs w:val="24"/>
                <w:lang w:eastAsia="zh-CN"/>
              </w:rPr>
              <w:t>山东省临沂卫生学校扩建项目图书信息综合楼</w:t>
            </w:r>
            <w:r>
              <w:rPr>
                <w:rFonts w:hint="eastAsia" w:eastAsia="宋体"/>
                <w:szCs w:val="24"/>
                <w:lang w:val="en-US" w:eastAsia="zh-CN"/>
              </w:rPr>
              <w:t>B区</w:t>
            </w:r>
            <w:r>
              <w:rPr>
                <w:rFonts w:hint="eastAsia" w:eastAsia="宋体"/>
                <w:szCs w:val="24"/>
                <w:lang w:eastAsia="zh-CN"/>
              </w:rPr>
              <w:t>图书馆及大厅装饰工程</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cs="宋体"/>
                <w:sz w:val="24"/>
                <w:szCs w:val="24"/>
              </w:rPr>
            </w:pPr>
            <w:r>
              <w:rPr>
                <w:rFonts w:hint="eastAsia" w:ascii="宋体" w:hAnsi="宋体" w:cs="宋体"/>
                <w:sz w:val="24"/>
                <w:szCs w:val="24"/>
              </w:rPr>
              <w:t>1</w:t>
            </w:r>
          </w:p>
        </w:tc>
        <w:tc>
          <w:tcPr>
            <w:tcW w:w="3176"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80" w:lineRule="exact"/>
              <w:rPr>
                <w:rFonts w:hint="eastAsia" w:ascii="宋体" w:hAnsi="宋体" w:cs="宋体"/>
                <w:kern w:val="0"/>
                <w:sz w:val="24"/>
                <w:shd w:val="clear" w:color="auto" w:fill="FFFFFF"/>
              </w:rPr>
            </w:pPr>
            <w:r>
              <w:rPr>
                <w:rFonts w:hint="eastAsia" w:ascii="宋体" w:hAnsi="宋体" w:cs="宋体"/>
                <w:kern w:val="0"/>
                <w:sz w:val="24"/>
                <w:shd w:val="clear" w:color="auto" w:fill="FFFFFF"/>
              </w:rPr>
              <w:t>详见</w:t>
            </w:r>
            <w:r>
              <w:rPr>
                <w:rFonts w:hint="eastAsia" w:ascii="宋体" w:hAnsi="宋体" w:cs="宋体"/>
                <w:kern w:val="0"/>
                <w:sz w:val="24"/>
                <w:shd w:val="clear" w:color="auto" w:fill="FFFFFF"/>
                <w:lang w:val="en-US" w:eastAsia="zh-CN"/>
              </w:rPr>
              <w:t>招标</w:t>
            </w:r>
            <w:r>
              <w:rPr>
                <w:rFonts w:hint="eastAsia" w:ascii="宋体" w:hAnsi="宋体" w:cs="宋体"/>
                <w:kern w:val="0"/>
                <w:sz w:val="24"/>
                <w:shd w:val="clear" w:color="auto" w:fill="FFFFFF"/>
              </w:rPr>
              <w:t xml:space="preserve">文件 </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u w:val="none"/>
                <w:lang w:val="en-US" w:eastAsia="zh-CN"/>
              </w:rPr>
              <w:t>230</w:t>
            </w:r>
          </w:p>
        </w:tc>
      </w:tr>
    </w:tbl>
    <w:p>
      <w:pPr>
        <w:pStyle w:val="84"/>
        <w:rPr>
          <w:rFonts w:hint="eastAsia" w:ascii="宋体" w:hAnsi="宋体" w:cs="宋体"/>
          <w:szCs w:val="24"/>
        </w:rPr>
      </w:pPr>
    </w:p>
    <w:p>
      <w:pPr>
        <w:keepNext w:val="0"/>
        <w:keepLines w:val="0"/>
        <w:pageBreakBefore w:val="0"/>
        <w:widowControl/>
        <w:numPr>
          <w:ilvl w:val="0"/>
          <w:numId w:val="2"/>
        </w:numPr>
        <w:kinsoku/>
        <w:wordWrap/>
        <w:overflowPunct/>
        <w:topLinePunct w:val="0"/>
        <w:bidi w:val="0"/>
        <w:adjustRightInd w:val="0"/>
        <w:snapToGrid w:val="0"/>
        <w:spacing w:line="360" w:lineRule="auto"/>
        <w:jc w:val="left"/>
        <w:textAlignment w:val="auto"/>
        <w:rPr>
          <w:rFonts w:hint="eastAsia" w:ascii="宋体" w:hAnsi="宋体" w:cs="宋体"/>
          <w:b/>
          <w:bCs/>
          <w:kern w:val="0"/>
          <w:sz w:val="24"/>
          <w:szCs w:val="24"/>
        </w:rPr>
      </w:pPr>
      <w:r>
        <w:rPr>
          <w:rFonts w:hint="eastAsia" w:ascii="宋体" w:hAnsi="宋体" w:cs="宋体"/>
          <w:b/>
          <w:bCs/>
          <w:kern w:val="0"/>
          <w:sz w:val="24"/>
          <w:szCs w:val="24"/>
        </w:rPr>
        <w:t>申请人的资格要求：</w:t>
      </w:r>
    </w:p>
    <w:p>
      <w:pPr>
        <w:pStyle w:val="2"/>
        <w:keepNext w:val="0"/>
        <w:keepLines w:val="0"/>
        <w:pageBreakBefore w:val="0"/>
        <w:kinsoku/>
        <w:wordWrap/>
        <w:overflowPunct/>
        <w:topLinePunct w:val="0"/>
        <w:bidi w:val="0"/>
        <w:spacing w:line="360" w:lineRule="auto"/>
        <w:textAlignment w:val="auto"/>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1、满足《中华人民共和国政府采购法》第二十二条规定；</w:t>
      </w:r>
    </w:p>
    <w:p>
      <w:pPr>
        <w:pStyle w:val="2"/>
        <w:keepNext w:val="0"/>
        <w:keepLines w:val="0"/>
        <w:pageBreakBefore w:val="0"/>
        <w:kinsoku/>
        <w:wordWrap/>
        <w:overflowPunct/>
        <w:topLinePunct w:val="0"/>
        <w:bidi w:val="0"/>
        <w:spacing w:line="360" w:lineRule="auto"/>
        <w:textAlignment w:val="auto"/>
        <w:rPr>
          <w:rFonts w:hint="eastAsia" w:ascii="宋体" w:hAnsi="宋体" w:eastAsia="宋体" w:cs="宋体"/>
          <w:kern w:val="0"/>
          <w:sz w:val="24"/>
          <w:shd w:val="clear" w:color="auto" w:fill="FFFFFF"/>
          <w:lang w:val="en-US" w:eastAsia="zh-CN"/>
        </w:rPr>
      </w:pPr>
      <w:r>
        <w:rPr>
          <w:rFonts w:hint="eastAsia" w:ascii="宋体" w:hAnsi="宋体" w:cs="宋体"/>
          <w:b/>
          <w:bCs/>
          <w:kern w:val="0"/>
          <w:sz w:val="24"/>
          <w:shd w:val="clear" w:color="auto" w:fill="FFFFFF"/>
          <w:lang w:val="en-US" w:eastAsia="zh-CN"/>
        </w:rPr>
        <w:t>2、落实政府采购政策需满足的资格要求：</w:t>
      </w:r>
      <w:r>
        <w:rPr>
          <w:rFonts w:hint="eastAsia" w:ascii="宋体" w:hAnsi="宋体" w:cs="宋体"/>
          <w:kern w:val="0"/>
          <w:sz w:val="24"/>
          <w:shd w:val="clear" w:color="auto" w:fill="FFFFFF"/>
          <w:lang w:val="en-US" w:eastAsia="zh-CN"/>
        </w:rPr>
        <w:t>鼓励节能政策、环保政策、监狱企业、残疾人福利性单位参与。</w:t>
      </w:r>
    </w:p>
    <w:p>
      <w:pPr>
        <w:pStyle w:val="2"/>
        <w:keepNext w:val="0"/>
        <w:keepLines w:val="0"/>
        <w:pageBreakBefore w:val="0"/>
        <w:kinsoku/>
        <w:wordWrap/>
        <w:overflowPunct/>
        <w:topLinePunct w:val="0"/>
        <w:bidi w:val="0"/>
        <w:spacing w:line="360" w:lineRule="auto"/>
        <w:textAlignment w:val="auto"/>
        <w:rPr>
          <w:rFonts w:hint="eastAsia"/>
        </w:rPr>
      </w:pPr>
      <w:r>
        <w:rPr>
          <w:rFonts w:hint="eastAsia" w:ascii="宋体" w:hAnsi="宋体" w:cs="宋体"/>
          <w:b/>
          <w:bCs/>
          <w:kern w:val="0"/>
          <w:sz w:val="24"/>
          <w:shd w:val="clear" w:color="auto" w:fill="FFFFFF"/>
        </w:rPr>
        <w:t>3、本项目的特定资格要求：</w:t>
      </w:r>
      <w:r>
        <w:rPr>
          <w:rFonts w:hint="eastAsia" w:ascii="宋体" w:hAnsi="宋体" w:cs="宋体"/>
          <w:kern w:val="0"/>
          <w:sz w:val="24"/>
          <w:shd w:val="clear" w:color="auto" w:fill="FFFFFF"/>
        </w:rPr>
        <w:t>1</w:t>
      </w:r>
      <w:r>
        <w:rPr>
          <w:rFonts w:hint="eastAsia" w:ascii="宋体" w:hAnsi="宋体" w:cs="宋体"/>
          <w:kern w:val="0"/>
          <w:sz w:val="24"/>
          <w:shd w:val="clear" w:color="auto" w:fill="FFFFFF"/>
          <w:lang w:val="en-US" w:eastAsia="zh-CN"/>
        </w:rPr>
        <w:t>.</w:t>
      </w:r>
      <w:r>
        <w:rPr>
          <w:rFonts w:hint="eastAsia" w:ascii="宋体" w:hAnsi="宋体" w:cs="宋体"/>
          <w:kern w:val="0"/>
          <w:sz w:val="24"/>
          <w:highlight w:val="none"/>
          <w:shd w:val="clear" w:color="auto" w:fill="FFFFFF"/>
        </w:rPr>
        <w:t>在中华人民共和国境内注册的企业，具有独立承担民事责任能力的法人或其他组织；</w:t>
      </w:r>
      <w:r>
        <w:rPr>
          <w:rFonts w:hint="eastAsia" w:ascii="宋体" w:hAnsi="宋体" w:cs="宋体"/>
          <w:kern w:val="0"/>
          <w:sz w:val="24"/>
          <w:highlight w:val="none"/>
          <w:shd w:val="clear" w:color="auto" w:fill="FFFFFF"/>
          <w:lang w:val="en-US" w:eastAsia="zh-CN"/>
        </w:rPr>
        <w:t>具有有效的</w:t>
      </w:r>
      <w:r>
        <w:rPr>
          <w:rFonts w:hint="eastAsia" w:ascii="宋体" w:hAnsi="宋体" w:cs="宋体"/>
          <w:kern w:val="0"/>
          <w:sz w:val="24"/>
          <w:highlight w:val="none"/>
          <w:shd w:val="clear" w:color="auto" w:fill="FFFFFF"/>
          <w:lang w:eastAsia="zh-CN"/>
        </w:rPr>
        <w:t>营业执照</w:t>
      </w:r>
      <w:r>
        <w:rPr>
          <w:rFonts w:hint="eastAsia" w:ascii="宋体" w:hAnsi="宋体" w:cs="宋体"/>
          <w:kern w:val="0"/>
          <w:sz w:val="24"/>
          <w:highlight w:val="none"/>
          <w:shd w:val="clear" w:color="auto" w:fill="FFFFFF"/>
          <w:lang w:val="en-US" w:eastAsia="zh-CN"/>
        </w:rPr>
        <w:t>2.</w:t>
      </w:r>
      <w:r>
        <w:rPr>
          <w:rFonts w:hint="eastAsia" w:ascii="宋体" w:hAnsi="宋体" w:cs="宋体"/>
          <w:kern w:val="0"/>
          <w:sz w:val="24"/>
          <w:highlight w:val="none"/>
          <w:shd w:val="clear" w:color="auto" w:fill="FFFFFF"/>
        </w:rPr>
        <w:t>投标单位须具备建筑装饰装修工程专业承包二级及以上资质，并具有有效期内的安全生产许可证</w:t>
      </w:r>
      <w:r>
        <w:rPr>
          <w:rFonts w:hint="eastAsia" w:ascii="宋体" w:hAnsi="宋体" w:eastAsia="宋体" w:cs="宋体"/>
          <w:kern w:val="0"/>
          <w:sz w:val="24"/>
          <w:highlight w:val="none"/>
          <w:shd w:val="clear" w:color="auto" w:fill="FFFFFF"/>
          <w:lang w:val="en-US" w:eastAsia="zh-CN"/>
        </w:rPr>
        <w:t>,</w:t>
      </w:r>
      <w:r>
        <w:rPr>
          <w:rFonts w:hint="eastAsia" w:ascii="宋体" w:hAnsi="宋体" w:cs="宋体"/>
          <w:kern w:val="0"/>
          <w:sz w:val="24"/>
          <w:highlight w:val="none"/>
          <w:shd w:val="clear" w:color="auto" w:fill="FFFFFF"/>
        </w:rPr>
        <w:t>且在人员、设备、技术、资金等方面具有履行本项目合同所必需的能力；</w:t>
      </w:r>
      <w:r>
        <w:rPr>
          <w:rFonts w:hint="eastAsia" w:ascii="宋体" w:hAnsi="宋体" w:cs="宋体"/>
          <w:kern w:val="0"/>
          <w:sz w:val="24"/>
          <w:highlight w:val="none"/>
          <w:shd w:val="clear" w:color="auto" w:fill="FFFFFF"/>
          <w:lang w:val="en-US" w:eastAsia="zh-CN"/>
        </w:rPr>
        <w:t>3.拟派项目经理须具备建筑专业二级及以上注册建造师执业资格，具备有效的安全生产考核合格证书，且未担任其他在建工程项目的项目经理</w:t>
      </w:r>
      <w:r>
        <w:rPr>
          <w:rFonts w:hint="eastAsia" w:ascii="宋体" w:hAnsi="宋体" w:cs="宋体"/>
          <w:b/>
          <w:bCs/>
          <w:kern w:val="0"/>
          <w:sz w:val="24"/>
          <w:highlight w:val="none"/>
          <w:shd w:val="clear" w:color="auto" w:fill="FFFFFF"/>
        </w:rPr>
        <w:t>；</w:t>
      </w:r>
      <w:r>
        <w:rPr>
          <w:rFonts w:hint="eastAsia" w:ascii="宋体" w:hAnsi="宋体" w:cs="宋体"/>
          <w:kern w:val="0"/>
          <w:sz w:val="24"/>
          <w:highlight w:val="none"/>
          <w:shd w:val="clear" w:color="auto" w:fill="FFFFFF"/>
          <w:lang w:val="en-US" w:eastAsia="zh-CN"/>
        </w:rPr>
        <w:t>4.</w:t>
      </w:r>
      <w:r>
        <w:rPr>
          <w:rFonts w:hint="eastAsia" w:ascii="宋体" w:hAnsi="宋体" w:cs="宋体"/>
          <w:kern w:val="0"/>
          <w:sz w:val="24"/>
          <w:highlight w:val="none"/>
          <w:shd w:val="clear" w:color="auto" w:fill="FFFFFF"/>
        </w:rPr>
        <w:t>参加政府采购活动前三年内，在经营活动中没有重大违法记录；到投标截止时间止在《信用</w:t>
      </w:r>
      <w:r>
        <w:rPr>
          <w:rFonts w:hint="eastAsia" w:ascii="宋体" w:hAnsi="宋体" w:cs="宋体"/>
          <w:kern w:val="0"/>
          <w:sz w:val="24"/>
          <w:shd w:val="clear" w:color="auto" w:fill="FFFFFF"/>
        </w:rPr>
        <w:t>中国》网站（www.creditchina.gov.cn）无列入失信被执行人、重大税收违法案件当事人名单和政府采购严重违法失信行为记录名单记录</w:t>
      </w:r>
      <w:r>
        <w:rPr>
          <w:rFonts w:hint="eastAsia" w:ascii="宋体" w:hAnsi="宋体" w:eastAsia="宋体" w:cs="宋体"/>
          <w:kern w:val="0"/>
          <w:sz w:val="24"/>
          <w:shd w:val="clear" w:color="auto" w:fill="FFFFFF"/>
        </w:rPr>
        <w:t>；</w:t>
      </w:r>
      <w:r>
        <w:rPr>
          <w:rFonts w:hint="eastAsia" w:ascii="宋体" w:hAnsi="宋体" w:cs="宋体"/>
          <w:kern w:val="0"/>
          <w:sz w:val="24"/>
          <w:shd w:val="clear" w:color="auto" w:fill="FFFFFF"/>
          <w:lang w:val="en-US" w:eastAsia="zh-CN"/>
        </w:rPr>
        <w:t>5</w:t>
      </w:r>
      <w:r>
        <w:rPr>
          <w:rFonts w:hint="eastAsia" w:ascii="宋体" w:hAnsi="宋体" w:eastAsia="宋体" w:cs="宋体"/>
          <w:kern w:val="0"/>
          <w:sz w:val="24"/>
          <w:shd w:val="clear" w:color="auto" w:fill="FFFFFF"/>
        </w:rPr>
        <w:t>、具有投资参股关系的关联企业，或具有直接管理和被管理关系的母子公司，或同一母公司的子公司，或法定代表人为同一个人的两个及两个以上法人不得同时投标，否则均按无效投标文件处理；</w:t>
      </w:r>
      <w:r>
        <w:rPr>
          <w:rFonts w:hint="eastAsia" w:ascii="宋体" w:hAnsi="宋体" w:cs="宋体"/>
          <w:kern w:val="0"/>
          <w:sz w:val="24"/>
          <w:shd w:val="clear" w:color="auto" w:fill="FFFFFF"/>
          <w:lang w:val="en-US" w:eastAsia="zh-CN"/>
        </w:rPr>
        <w:t>6</w:t>
      </w:r>
      <w:r>
        <w:rPr>
          <w:rFonts w:hint="eastAsia" w:ascii="宋体" w:hAnsi="宋体" w:eastAsia="宋体" w:cs="宋体"/>
          <w:kern w:val="0"/>
          <w:sz w:val="24"/>
          <w:shd w:val="clear" w:color="auto" w:fill="FFFFFF"/>
        </w:rPr>
        <w:t>、</w:t>
      </w:r>
      <w:r>
        <w:rPr>
          <w:rFonts w:hint="eastAsia" w:ascii="宋体" w:hAnsi="宋体" w:cs="宋体"/>
          <w:kern w:val="0"/>
          <w:sz w:val="24"/>
          <w:shd w:val="clear" w:color="auto" w:fill="FFFFFF"/>
        </w:rPr>
        <w:t>本项目不接受联合体投标；</w:t>
      </w:r>
      <w:r>
        <w:rPr>
          <w:rFonts w:hint="eastAsia" w:ascii="宋体" w:hAnsi="宋体" w:cs="宋体"/>
          <w:kern w:val="0"/>
          <w:sz w:val="24"/>
          <w:shd w:val="clear" w:color="auto" w:fill="FFFFFF"/>
          <w:lang w:val="en-US" w:eastAsia="zh-CN"/>
        </w:rPr>
        <w:t>7</w:t>
      </w:r>
      <w:bookmarkStart w:id="68" w:name="_GoBack"/>
      <w:bookmarkEnd w:id="68"/>
      <w:r>
        <w:rPr>
          <w:rFonts w:hint="eastAsia" w:ascii="宋体" w:hAnsi="宋体" w:cs="宋体"/>
          <w:kern w:val="0"/>
          <w:sz w:val="24"/>
          <w:shd w:val="clear" w:color="auto" w:fill="FFFFFF"/>
        </w:rPr>
        <w:t>、法律法规规定的其他条件。</w:t>
      </w:r>
    </w:p>
    <w:p>
      <w:pPr>
        <w:pStyle w:val="2"/>
        <w:keepNext w:val="0"/>
        <w:keepLines w:val="0"/>
        <w:pageBreakBefore w:val="0"/>
        <w:numPr>
          <w:ilvl w:val="0"/>
          <w:numId w:val="0"/>
        </w:numPr>
        <w:kinsoku/>
        <w:wordWrap/>
        <w:overflowPunct/>
        <w:topLinePunct w:val="0"/>
        <w:bidi w:val="0"/>
        <w:spacing w:line="360" w:lineRule="auto"/>
        <w:textAlignment w:val="auto"/>
        <w:rPr>
          <w:rFonts w:hint="eastAsia"/>
          <w:b/>
          <w:bCs/>
        </w:rPr>
      </w:pPr>
      <w:r>
        <w:rPr>
          <w:rFonts w:hint="eastAsia"/>
          <w:b/>
          <w:bCs/>
        </w:rPr>
        <w:t>三、获取</w:t>
      </w:r>
      <w:r>
        <w:rPr>
          <w:rFonts w:hint="eastAsia"/>
          <w:b/>
          <w:bCs/>
          <w:lang w:val="en-US" w:eastAsia="zh-CN"/>
        </w:rPr>
        <w:t>招标</w:t>
      </w:r>
      <w:r>
        <w:rPr>
          <w:rFonts w:hint="eastAsia"/>
          <w:b/>
          <w:bCs/>
        </w:rPr>
        <w:t>文件：</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highlight w:val="none"/>
        </w:rPr>
        <w:t>1、时间：</w:t>
      </w:r>
      <w:r>
        <w:rPr>
          <w:rFonts w:hint="eastAsia" w:ascii="宋体" w:hAnsi="宋体" w:cs="宋体"/>
          <w:color w:val="auto"/>
          <w:kern w:val="0"/>
          <w:sz w:val="24"/>
          <w:szCs w:val="24"/>
          <w:highlight w:val="none"/>
          <w:lang w:val="zh-CN"/>
        </w:rPr>
        <w:t>202</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01</w:t>
      </w:r>
      <w:r>
        <w:rPr>
          <w:rFonts w:hint="eastAsia" w:ascii="宋体" w:hAnsi="宋体" w:cs="宋体"/>
          <w:color w:val="auto"/>
          <w:kern w:val="0"/>
          <w:sz w:val="24"/>
          <w:szCs w:val="24"/>
          <w:highlight w:val="none"/>
          <w:lang w:val="zh-CN"/>
        </w:rPr>
        <w:t>日0</w:t>
      </w:r>
      <w:r>
        <w:rPr>
          <w:rFonts w:hint="eastAsia" w:ascii="宋体" w:hAnsi="宋体" w:cs="宋体"/>
          <w:color w:val="auto"/>
          <w:kern w:val="0"/>
          <w:sz w:val="24"/>
          <w:szCs w:val="24"/>
          <w:highlight w:val="none"/>
        </w:rPr>
        <w:t>8</w:t>
      </w:r>
      <w:r>
        <w:rPr>
          <w:rFonts w:hint="eastAsia" w:ascii="宋体" w:hAnsi="宋体" w:cs="宋体"/>
          <w:color w:val="auto"/>
          <w:kern w:val="0"/>
          <w:sz w:val="24"/>
          <w:szCs w:val="24"/>
          <w:highlight w:val="none"/>
          <w:lang w:val="zh-CN"/>
        </w:rPr>
        <w:t>时</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zh-CN"/>
        </w:rPr>
        <w:t>0分至202</w:t>
      </w: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lang w:val="en-US" w:eastAsia="zh-CN"/>
        </w:rPr>
        <w:t>07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zh-CN"/>
        </w:rPr>
        <w:t>17时00分</w:t>
      </w:r>
      <w:r>
        <w:rPr>
          <w:rFonts w:hint="eastAsia" w:ascii="宋体" w:hAnsi="宋体" w:cs="宋体"/>
          <w:color w:val="auto"/>
          <w:sz w:val="24"/>
          <w:szCs w:val="24"/>
          <w:highlight w:val="none"/>
          <w:shd w:val="clear" w:color="auto" w:fill="FFFFFF"/>
        </w:rPr>
        <w:t>（北京时间，法定</w:t>
      </w:r>
      <w:r>
        <w:rPr>
          <w:rFonts w:hint="eastAsia" w:ascii="宋体" w:hAnsi="宋体" w:cs="宋体"/>
          <w:color w:val="auto"/>
          <w:sz w:val="24"/>
          <w:szCs w:val="24"/>
          <w:shd w:val="clear" w:color="auto" w:fill="FFFFFF"/>
        </w:rPr>
        <w:t>节假日除外）</w:t>
      </w:r>
    </w:p>
    <w:p>
      <w:pPr>
        <w:keepNext w:val="0"/>
        <w:keepLines w:val="0"/>
        <w:pageBreakBefore w:val="0"/>
        <w:kinsoku/>
        <w:wordWrap/>
        <w:overflowPunct/>
        <w:topLinePunct w:val="0"/>
        <w:bidi w:val="0"/>
        <w:spacing w:line="360" w:lineRule="auto"/>
        <w:textAlignment w:val="auto"/>
        <w:rPr>
          <w:rFonts w:hint="eastAsia" w:ascii="宋体" w:hAnsi="宋体" w:cs="宋体"/>
          <w:sz w:val="24"/>
          <w:szCs w:val="24"/>
          <w:shd w:val="clear" w:color="auto" w:fill="FFFFFF"/>
        </w:rPr>
      </w:pPr>
      <w:r>
        <w:rPr>
          <w:rFonts w:hint="eastAsia" w:ascii="宋体" w:hAnsi="宋体" w:cs="宋体"/>
          <w:color w:val="auto"/>
          <w:kern w:val="0"/>
          <w:sz w:val="24"/>
          <w:szCs w:val="24"/>
        </w:rPr>
        <w:t>2、地点：临沂市公共资源交易网(http://ggzyjy.linyi.gov.cn)及山东省政府采购信息公开</w:t>
      </w:r>
      <w:r>
        <w:rPr>
          <w:rFonts w:hint="eastAsia" w:ascii="宋体" w:hAnsi="宋体" w:cs="宋体"/>
          <w:kern w:val="0"/>
          <w:sz w:val="24"/>
          <w:szCs w:val="24"/>
        </w:rPr>
        <w:t>平台（http://www.ccgp-shandong.gov.cn）。</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rPr>
      </w:pPr>
      <w:r>
        <w:rPr>
          <w:rFonts w:hint="eastAsia" w:ascii="宋体" w:hAnsi="宋体" w:cs="宋体"/>
          <w:kern w:val="0"/>
          <w:sz w:val="24"/>
          <w:szCs w:val="24"/>
        </w:rPr>
        <w:t>3、方式：①投标人在获取招标文件截止时间前办理CA认证、诚信入库并登录临沂市公共资源交易网(http://ggzyjy.linyi.gov.cn)下载招标文件，未下载招标文件视为自动放弃投标；登录山东省政府采购信息公开平台（http://www.ccgp-shandong.gov.cn）进行登记注册并针对本项目进行投标备案；②本项目实行网上招投标，在临沂市公共资源交易网系统中的“招标文件下载”页面下载电子招标文件（*.LYZF），并制作电子版投标文件（.LYTF）上传到系统。以上2项不满足为无效标</w:t>
      </w:r>
      <w:r>
        <w:rPr>
          <w:rFonts w:hint="eastAsia" w:ascii="宋体" w:hAnsi="宋体" w:cs="宋体"/>
          <w:kern w:val="0"/>
          <w:sz w:val="24"/>
          <w:szCs w:val="24"/>
          <w:lang w:eastAsia="zh-CN"/>
        </w:rPr>
        <w:t>，</w:t>
      </w:r>
      <w:r>
        <w:rPr>
          <w:rFonts w:hint="eastAsia" w:ascii="宋体" w:hAnsi="宋体" w:cs="宋体"/>
          <w:kern w:val="0"/>
          <w:sz w:val="24"/>
          <w:szCs w:val="24"/>
        </w:rPr>
        <w:t>拒收投标文件。注：潜在投标申请人应自行关注交易平台，因自身贻误行为导致未成功获取招标文件及补充（答疑、澄清）文件或投标失败的，责任自负。</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sz w:val="24"/>
          <w:szCs w:val="24"/>
        </w:rPr>
      </w:pPr>
      <w:r>
        <w:rPr>
          <w:rFonts w:hint="eastAsia" w:ascii="宋体" w:hAnsi="宋体" w:cs="宋体"/>
          <w:kern w:val="0"/>
          <w:sz w:val="24"/>
          <w:szCs w:val="24"/>
        </w:rPr>
        <w:t>4、售价：</w:t>
      </w:r>
      <w:r>
        <w:rPr>
          <w:rFonts w:hint="eastAsia" w:ascii="宋体" w:hAnsi="宋体" w:cs="宋体"/>
          <w:sz w:val="24"/>
          <w:szCs w:val="24"/>
        </w:rPr>
        <w:t>0元/</w:t>
      </w:r>
      <w:r>
        <w:rPr>
          <w:rFonts w:hint="eastAsia" w:ascii="宋体" w:hAnsi="宋体" w:cs="宋体"/>
          <w:sz w:val="24"/>
          <w:szCs w:val="24"/>
          <w:lang w:val="en-US" w:eastAsia="zh-CN"/>
        </w:rPr>
        <w:t>份</w:t>
      </w:r>
      <w:r>
        <w:rPr>
          <w:rFonts w:hint="eastAsia" w:ascii="宋体" w:hAnsi="宋体" w:cs="宋体"/>
          <w:sz w:val="24"/>
          <w:szCs w:val="24"/>
        </w:rPr>
        <w:t>，售后不退。</w:t>
      </w:r>
    </w:p>
    <w:p>
      <w:pPr>
        <w:pStyle w:val="2"/>
        <w:keepNext w:val="0"/>
        <w:keepLines w:val="0"/>
        <w:pageBreakBefore w:val="0"/>
        <w:kinsoku/>
        <w:wordWrap/>
        <w:overflowPunct/>
        <w:topLinePunct w:val="0"/>
        <w:bidi w:val="0"/>
        <w:spacing w:line="360" w:lineRule="auto"/>
        <w:ind w:left="0" w:leftChars="0" w:firstLine="0" w:firstLineChars="0"/>
        <w:textAlignment w:val="auto"/>
        <w:rPr>
          <w:rFonts w:hint="eastAsia"/>
          <w:b/>
          <w:bCs/>
        </w:rPr>
      </w:pPr>
      <w:r>
        <w:rPr>
          <w:rFonts w:hint="eastAsia"/>
          <w:b/>
          <w:bCs/>
        </w:rPr>
        <w:t>四、</w:t>
      </w:r>
      <w:r>
        <w:rPr>
          <w:rFonts w:ascii="Arial" w:hAnsi="Arial" w:eastAsia="宋体" w:cs="Arial"/>
          <w:b/>
          <w:bCs/>
          <w:i w:val="0"/>
          <w:iCs w:val="0"/>
          <w:sz w:val="21"/>
          <w:szCs w:val="21"/>
        </w:rPr>
        <w:t>提交投标文件截止时间、开标时间和地点</w:t>
      </w:r>
      <w:r>
        <w:rPr>
          <w:rFonts w:hint="eastAsia"/>
          <w:b/>
          <w:bCs/>
        </w:rPr>
        <w:t>：</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1.截止时间：2021年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14</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lang w:val="en-US" w:eastAsia="zh-CN"/>
        </w:rPr>
        <w:t>00</w:t>
      </w:r>
      <w:r>
        <w:rPr>
          <w:rFonts w:hint="eastAsia" w:ascii="宋体" w:hAnsi="宋体" w:cs="宋体"/>
          <w:color w:val="auto"/>
          <w:kern w:val="0"/>
          <w:sz w:val="24"/>
          <w:szCs w:val="24"/>
          <w:highlight w:val="none"/>
        </w:rPr>
        <w:t>分（北京时间）</w:t>
      </w:r>
    </w:p>
    <w:p>
      <w:pPr>
        <w:keepNext w:val="0"/>
        <w:keepLines w:val="0"/>
        <w:pageBreakBefore w:val="0"/>
        <w:widowControl/>
        <w:kinsoku/>
        <w:wordWrap/>
        <w:overflowPunct/>
        <w:topLinePunct w:val="0"/>
        <w:bidi w:val="0"/>
        <w:adjustRightInd w:val="0"/>
        <w:snapToGrid w:val="0"/>
        <w:spacing w:line="360" w:lineRule="auto"/>
        <w:ind w:firstLine="240" w:firstLineChars="100"/>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.开</w:t>
      </w:r>
      <w:r>
        <w:rPr>
          <w:rFonts w:hint="eastAsia" w:ascii="宋体" w:hAnsi="宋体" w:cs="宋体"/>
          <w:color w:val="auto"/>
          <w:kern w:val="0"/>
          <w:sz w:val="24"/>
          <w:szCs w:val="24"/>
          <w:lang w:val="en-US" w:eastAsia="zh-CN"/>
        </w:rPr>
        <w:t>标</w:t>
      </w:r>
      <w:r>
        <w:rPr>
          <w:rFonts w:hint="eastAsia" w:ascii="宋体" w:hAnsi="宋体" w:cs="宋体"/>
          <w:color w:val="auto"/>
          <w:kern w:val="0"/>
          <w:sz w:val="24"/>
          <w:szCs w:val="24"/>
        </w:rPr>
        <w:t>时间：2021年</w:t>
      </w:r>
      <w:r>
        <w:rPr>
          <w:rFonts w:hint="eastAsia" w:ascii="宋体" w:hAnsi="宋体" w:eastAsia="宋体" w:cs="宋体"/>
          <w:color w:val="auto"/>
          <w:kern w:val="0"/>
          <w:sz w:val="24"/>
          <w:szCs w:val="24"/>
          <w:lang w:val="en-US" w:eastAsia="zh-CN"/>
        </w:rPr>
        <w:t>12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rPr>
        <w:t xml:space="preserve">分（北京时间） </w:t>
      </w:r>
    </w:p>
    <w:p>
      <w:pPr>
        <w:keepNext w:val="0"/>
        <w:keepLines w:val="0"/>
        <w:pageBreakBefore w:val="0"/>
        <w:widowControl/>
        <w:kinsoku/>
        <w:wordWrap/>
        <w:overflowPunct/>
        <w:topLinePunct w:val="0"/>
        <w:bidi w:val="0"/>
        <w:adjustRightInd w:val="0"/>
        <w:snapToGrid w:val="0"/>
        <w:spacing w:line="360" w:lineRule="auto"/>
        <w:ind w:firstLine="240" w:firstLineChars="100"/>
        <w:jc w:val="left"/>
        <w:textAlignment w:val="auto"/>
        <w:rPr>
          <w:rFonts w:hint="eastAsia" w:ascii="宋体" w:hAnsi="宋体" w:cs="宋体"/>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.开</w:t>
      </w:r>
      <w:r>
        <w:rPr>
          <w:rFonts w:hint="eastAsia" w:ascii="宋体" w:hAnsi="宋体" w:cs="宋体"/>
          <w:color w:val="auto"/>
          <w:kern w:val="0"/>
          <w:sz w:val="24"/>
          <w:szCs w:val="24"/>
          <w:lang w:val="en-US" w:eastAsia="zh-CN"/>
        </w:rPr>
        <w:t>标</w:t>
      </w:r>
      <w:r>
        <w:rPr>
          <w:rFonts w:hint="eastAsia" w:ascii="宋体" w:hAnsi="宋体" w:cs="宋体"/>
          <w:color w:val="auto"/>
          <w:kern w:val="0"/>
          <w:sz w:val="24"/>
          <w:szCs w:val="24"/>
        </w:rPr>
        <w:t>地点：临沂市公共资源交易中心五楼开标室（临沂市政务服务中心5楼，北京路8</w:t>
      </w:r>
      <w:r>
        <w:rPr>
          <w:rFonts w:hint="eastAsia" w:ascii="宋体" w:hAnsi="宋体" w:cs="宋体"/>
          <w:kern w:val="0"/>
          <w:sz w:val="24"/>
          <w:szCs w:val="24"/>
        </w:rPr>
        <w:t xml:space="preserve">号） </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b/>
          <w:bCs/>
          <w:kern w:val="0"/>
          <w:sz w:val="24"/>
          <w:szCs w:val="24"/>
        </w:rPr>
      </w:pPr>
      <w:r>
        <w:rPr>
          <w:rFonts w:hint="eastAsia" w:ascii="宋体" w:hAnsi="宋体" w:cs="宋体"/>
          <w:b/>
          <w:bCs/>
          <w:kern w:val="0"/>
          <w:sz w:val="24"/>
          <w:szCs w:val="24"/>
          <w:lang w:val="en-US" w:eastAsia="zh-CN"/>
        </w:rPr>
        <w:t>五</w:t>
      </w:r>
      <w:r>
        <w:rPr>
          <w:rFonts w:hint="eastAsia" w:ascii="宋体" w:hAnsi="宋体" w:cs="宋体"/>
          <w:b/>
          <w:bCs/>
          <w:kern w:val="0"/>
          <w:sz w:val="24"/>
          <w:szCs w:val="24"/>
        </w:rPr>
        <w:t>、公告期限：</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rPr>
      </w:pPr>
      <w:r>
        <w:rPr>
          <w:rFonts w:hint="eastAsia" w:ascii="宋体" w:hAnsi="宋体" w:cs="宋体"/>
          <w:kern w:val="0"/>
          <w:sz w:val="24"/>
          <w:szCs w:val="24"/>
        </w:rPr>
        <w:t>  自本公告发布之日起5个工作日。</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b/>
          <w:bCs/>
          <w:kern w:val="0"/>
          <w:sz w:val="24"/>
          <w:szCs w:val="24"/>
        </w:rPr>
      </w:pPr>
      <w:r>
        <w:rPr>
          <w:rFonts w:hint="eastAsia" w:ascii="宋体" w:hAnsi="宋体" w:cs="宋体"/>
          <w:b/>
          <w:bCs/>
          <w:kern w:val="0"/>
          <w:sz w:val="24"/>
          <w:szCs w:val="24"/>
          <w:lang w:val="en-US" w:eastAsia="zh-CN"/>
        </w:rPr>
        <w:t>六</w:t>
      </w:r>
      <w:r>
        <w:rPr>
          <w:rFonts w:hint="eastAsia" w:ascii="宋体" w:hAnsi="宋体" w:cs="宋体"/>
          <w:b/>
          <w:bCs/>
          <w:kern w:val="0"/>
          <w:sz w:val="24"/>
          <w:szCs w:val="24"/>
        </w:rPr>
        <w:t>、其他补充事宜：</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highlight w:val="yellow"/>
        </w:rPr>
      </w:pPr>
      <w:r>
        <w:rPr>
          <w:rFonts w:hint="eastAsia" w:ascii="宋体" w:hAnsi="宋体" w:cs="宋体"/>
          <w:kern w:val="0"/>
          <w:sz w:val="24"/>
          <w:szCs w:val="24"/>
        </w:rPr>
        <w:t>   本项目实行“不见面”开标，不再现场递交投标文件。投标企业登录临沂市公共资源交易中心网站,按照“办事指南”中“临沂市不见面开标及远程评标操作手册"下载“不见面开标投标人操作手册.doc”并按照其要求，做好相关准备工作。</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b/>
          <w:bCs/>
          <w:kern w:val="0"/>
          <w:sz w:val="24"/>
          <w:szCs w:val="24"/>
        </w:rPr>
      </w:pPr>
      <w:r>
        <w:rPr>
          <w:rFonts w:hint="eastAsia" w:ascii="宋体" w:hAnsi="宋体" w:cs="宋体"/>
          <w:b/>
          <w:bCs/>
          <w:kern w:val="0"/>
          <w:sz w:val="24"/>
          <w:szCs w:val="24"/>
          <w:lang w:val="en-US" w:eastAsia="zh-CN"/>
        </w:rPr>
        <w:t>七</w:t>
      </w:r>
      <w:r>
        <w:rPr>
          <w:rFonts w:hint="eastAsia" w:ascii="宋体" w:hAnsi="宋体" w:cs="宋体"/>
          <w:b/>
          <w:bCs/>
          <w:kern w:val="0"/>
          <w:sz w:val="24"/>
          <w:szCs w:val="24"/>
        </w:rPr>
        <w:t>、对本次招标提出询问，请按以下方式联系：</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rPr>
      </w:pPr>
      <w:r>
        <w:rPr>
          <w:rFonts w:hint="eastAsia" w:ascii="宋体" w:hAnsi="宋体" w:cs="宋体"/>
          <w:kern w:val="0"/>
          <w:sz w:val="24"/>
          <w:szCs w:val="24"/>
        </w:rPr>
        <w:t>  1、采购人信息</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rPr>
      </w:pPr>
      <w:r>
        <w:rPr>
          <w:rFonts w:hint="eastAsia" w:ascii="宋体" w:hAnsi="宋体" w:cs="宋体"/>
          <w:kern w:val="0"/>
          <w:sz w:val="24"/>
          <w:szCs w:val="24"/>
        </w:rPr>
        <w:t>   名</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rPr>
        <w:t>称：山东省临沂卫生学校</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rPr>
      </w:pPr>
      <w:r>
        <w:rPr>
          <w:rFonts w:hint="eastAsia" w:ascii="宋体" w:hAnsi="宋体" w:cs="宋体"/>
          <w:kern w:val="0"/>
          <w:sz w:val="24"/>
          <w:szCs w:val="24"/>
        </w:rPr>
        <w:t>   地</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rPr>
        <w:t xml:space="preserve">址：地址：兰山区聚财六路与临西九路交汇处 </w:t>
      </w:r>
    </w:p>
    <w:p>
      <w:pPr>
        <w:keepNext w:val="0"/>
        <w:keepLines w:val="0"/>
        <w:pageBreakBefore w:val="0"/>
        <w:widowControl/>
        <w:kinsoku/>
        <w:wordWrap/>
        <w:overflowPunct/>
        <w:topLinePunct w:val="0"/>
        <w:bidi w:val="0"/>
        <w:adjustRightInd w:val="0"/>
        <w:snapToGrid w:val="0"/>
        <w:spacing w:line="360" w:lineRule="auto"/>
        <w:ind w:firstLine="763" w:firstLineChars="318"/>
        <w:jc w:val="left"/>
        <w:textAlignment w:val="auto"/>
        <w:rPr>
          <w:rFonts w:hint="eastAsia" w:ascii="宋体" w:hAnsi="宋体" w:cs="宋体"/>
          <w:kern w:val="0"/>
          <w:sz w:val="24"/>
          <w:szCs w:val="24"/>
        </w:rPr>
      </w:pPr>
      <w:r>
        <w:rPr>
          <w:rFonts w:hint="eastAsia" w:ascii="宋体" w:hAnsi="宋体" w:cs="宋体"/>
          <w:kern w:val="0"/>
          <w:sz w:val="24"/>
          <w:szCs w:val="24"/>
        </w:rPr>
        <w:t>联系方式：0539-8313202</w:t>
      </w:r>
    </w:p>
    <w:p>
      <w:pPr>
        <w:keepNext w:val="0"/>
        <w:keepLines w:val="0"/>
        <w:pageBreakBefore w:val="0"/>
        <w:widowControl/>
        <w:kinsoku/>
        <w:wordWrap/>
        <w:overflowPunct/>
        <w:topLinePunct w:val="0"/>
        <w:bidi w:val="0"/>
        <w:adjustRightInd w:val="0"/>
        <w:snapToGrid w:val="0"/>
        <w:spacing w:line="360" w:lineRule="auto"/>
        <w:ind w:firstLine="480"/>
        <w:jc w:val="left"/>
        <w:textAlignment w:val="auto"/>
        <w:rPr>
          <w:rFonts w:hint="eastAsia" w:ascii="宋体" w:hAnsi="宋体" w:cs="宋体"/>
          <w:kern w:val="0"/>
          <w:sz w:val="24"/>
          <w:szCs w:val="24"/>
        </w:rPr>
      </w:pPr>
      <w:r>
        <w:rPr>
          <w:rFonts w:hint="eastAsia" w:ascii="宋体" w:hAnsi="宋体" w:cs="宋体"/>
          <w:kern w:val="0"/>
          <w:sz w:val="24"/>
          <w:szCs w:val="24"/>
        </w:rPr>
        <w:t>2、采购代理机构</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名</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称</w:t>
      </w:r>
      <w:r>
        <w:rPr>
          <w:rFonts w:hint="eastAsia" w:ascii="宋体" w:hAnsi="宋体" w:eastAsia="宋体" w:cs="宋体"/>
          <w:sz w:val="24"/>
          <w:szCs w:val="24"/>
        </w:rPr>
        <w:t>：</w:t>
      </w:r>
      <w:r>
        <w:rPr>
          <w:rFonts w:hint="eastAsia" w:ascii="宋体" w:hAnsi="宋体" w:cs="宋体"/>
          <w:sz w:val="24"/>
          <w:szCs w:val="24"/>
          <w:lang w:eastAsia="zh-CN"/>
        </w:rPr>
        <w:t>临沂正旭建设项目管理有限公司</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w:t>
      </w:r>
      <w:r>
        <w:rPr>
          <w:rFonts w:hint="eastAsia" w:ascii="宋体" w:hAnsi="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cs="宋体"/>
          <w:sz w:val="24"/>
          <w:szCs w:val="24"/>
          <w:lang w:eastAsia="zh-CN"/>
        </w:rPr>
        <w:t>临沂市北城新区北京路与沭河路交汇红日大厦807室</w:t>
      </w:r>
      <w:r>
        <w:rPr>
          <w:rFonts w:hint="eastAsia" w:ascii="宋体" w:hAnsi="宋体" w:eastAsia="宋体" w:cs="宋体"/>
          <w:sz w:val="24"/>
          <w:szCs w:val="24"/>
        </w:rPr>
        <w:t xml:space="preserve"> </w:t>
      </w:r>
    </w:p>
    <w:p>
      <w:pPr>
        <w:pStyle w:val="40"/>
        <w:keepNext w:val="0"/>
        <w:keepLines w:val="0"/>
        <w:pageBreakBefore w:val="0"/>
        <w:kinsoku/>
        <w:wordWrap/>
        <w:overflowPunct/>
        <w:topLinePunct w:val="0"/>
        <w:bidi w:val="0"/>
        <w:spacing w:line="360" w:lineRule="auto"/>
        <w:ind w:firstLine="720" w:firstLineChars="300"/>
        <w:textAlignment w:val="auto"/>
        <w:rPr>
          <w:rFonts w:hint="eastAsia" w:hAnsi="宋体" w:cs="宋体"/>
          <w:szCs w:val="24"/>
        </w:rPr>
      </w:pPr>
      <w:r>
        <w:rPr>
          <w:rFonts w:hint="eastAsia" w:ascii="宋体" w:hAnsi="宋体" w:eastAsia="宋体" w:cs="宋体"/>
          <w:sz w:val="24"/>
          <w:szCs w:val="24"/>
        </w:rPr>
        <w:t>联系方式：</w:t>
      </w:r>
      <w:r>
        <w:rPr>
          <w:rFonts w:hint="eastAsia" w:ascii="宋体" w:hAnsi="宋体" w:cs="宋体"/>
          <w:sz w:val="24"/>
          <w:szCs w:val="24"/>
          <w:lang w:eastAsia="zh-CN"/>
        </w:rPr>
        <w:t>18396713086</w:t>
      </w:r>
    </w:p>
    <w:p>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3、项目联系方式</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cs="宋体"/>
          <w:kern w:val="0"/>
          <w:sz w:val="24"/>
          <w:szCs w:val="24"/>
        </w:rPr>
      </w:pPr>
      <w:r>
        <w:rPr>
          <w:rFonts w:hint="eastAsia" w:ascii="宋体" w:hAnsi="宋体" w:cs="宋体"/>
          <w:kern w:val="0"/>
          <w:sz w:val="24"/>
          <w:szCs w:val="24"/>
        </w:rPr>
        <w:t>   项目联系人：</w:t>
      </w:r>
      <w:r>
        <w:rPr>
          <w:rFonts w:hint="eastAsia" w:ascii="宋体" w:hAnsi="宋体" w:cs="宋体"/>
          <w:sz w:val="24"/>
          <w:szCs w:val="24"/>
          <w:lang w:eastAsia="zh-CN"/>
        </w:rPr>
        <w:t>临沂正旭建设项目管理有限公司</w:t>
      </w:r>
    </w:p>
    <w:p>
      <w:pPr>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b/>
          <w:kern w:val="0"/>
          <w:sz w:val="24"/>
        </w:rPr>
      </w:pPr>
      <w:r>
        <w:rPr>
          <w:rFonts w:hint="eastAsia" w:ascii="宋体" w:hAnsi="宋体" w:cs="宋体"/>
          <w:kern w:val="0"/>
          <w:sz w:val="24"/>
          <w:szCs w:val="24"/>
        </w:rPr>
        <w:t>   联系人电话：</w:t>
      </w:r>
      <w:r>
        <w:rPr>
          <w:rFonts w:hint="eastAsia" w:ascii="宋体" w:hAnsi="宋体" w:cs="宋体"/>
          <w:sz w:val="24"/>
          <w:szCs w:val="24"/>
          <w:lang w:eastAsia="zh-CN"/>
        </w:rPr>
        <w:t>18396713086</w:t>
      </w:r>
    </w:p>
    <w:bookmarkEnd w:id="1"/>
    <w:p>
      <w:pPr>
        <w:widowControl/>
        <w:adjustRightInd w:val="0"/>
        <w:snapToGrid w:val="0"/>
        <w:spacing w:line="500" w:lineRule="exact"/>
        <w:ind w:firstLine="482" w:firstLineChars="200"/>
        <w:jc w:val="left"/>
        <w:rPr>
          <w:rFonts w:hint="eastAsia" w:ascii="宋体" w:hAnsi="宋体" w:eastAsia="宋体" w:cs="宋体"/>
          <w:b/>
          <w:kern w:val="0"/>
          <w:sz w:val="24"/>
        </w:rPr>
      </w:pPr>
    </w:p>
    <w:p>
      <w:pPr>
        <w:widowControl/>
        <w:adjustRightInd w:val="0"/>
        <w:snapToGrid w:val="0"/>
        <w:spacing w:line="500" w:lineRule="exact"/>
        <w:jc w:val="left"/>
        <w:rPr>
          <w:rFonts w:hint="eastAsia" w:ascii="宋体" w:hAnsi="宋体" w:eastAsia="宋体" w:cs="宋体"/>
          <w:b/>
          <w:kern w:val="0"/>
          <w:sz w:val="24"/>
        </w:rPr>
      </w:pPr>
    </w:p>
    <w:p>
      <w:pPr>
        <w:rPr>
          <w:rFonts w:hint="eastAsia" w:ascii="宋体" w:hAnsi="宋体" w:eastAsia="宋体" w:cs="宋体"/>
          <w:color w:val="000000"/>
          <w:kern w:val="44"/>
          <w:sz w:val="32"/>
          <w:szCs w:val="32"/>
        </w:rPr>
      </w:pPr>
      <w:bookmarkStart w:id="2" w:name="_Toc76741783"/>
      <w:r>
        <w:rPr>
          <w:rFonts w:hint="eastAsia" w:ascii="宋体" w:hAnsi="宋体" w:eastAsia="宋体" w:cs="宋体"/>
          <w:color w:val="000000"/>
          <w:kern w:val="44"/>
          <w:sz w:val="32"/>
          <w:szCs w:val="32"/>
        </w:rPr>
        <w:br w:type="page"/>
      </w:r>
    </w:p>
    <w:p>
      <w:pPr>
        <w:jc w:val="center"/>
        <w:rPr>
          <w:rFonts w:hint="eastAsia" w:ascii="宋体" w:hAnsi="宋体" w:eastAsia="宋体" w:cs="宋体"/>
          <w:color w:val="000000"/>
          <w:kern w:val="44"/>
          <w:sz w:val="28"/>
          <w:szCs w:val="28"/>
        </w:rPr>
      </w:pPr>
      <w:r>
        <w:rPr>
          <w:rFonts w:hint="eastAsia" w:ascii="宋体" w:hAnsi="宋体" w:eastAsia="宋体" w:cs="宋体"/>
          <w:color w:val="000000"/>
          <w:kern w:val="44"/>
          <w:sz w:val="32"/>
          <w:szCs w:val="32"/>
        </w:rPr>
        <w:t>第二章  供应商须知</w:t>
      </w:r>
      <w:bookmarkEnd w:id="2"/>
      <w:bookmarkStart w:id="3" w:name="_Toc290391856"/>
      <w:bookmarkStart w:id="4" w:name="_Toc233511871"/>
      <w:bookmarkStart w:id="5" w:name="_Toc436577515"/>
    </w:p>
    <w:bookmarkEnd w:id="3"/>
    <w:bookmarkEnd w:id="4"/>
    <w:bookmarkEnd w:id="5"/>
    <w:p>
      <w:pPr>
        <w:spacing w:line="480" w:lineRule="exact"/>
        <w:jc w:val="center"/>
        <w:rPr>
          <w:rFonts w:hint="eastAsia" w:ascii="宋体" w:hAnsi="宋体" w:eastAsia="宋体" w:cs="宋体"/>
          <w:bCs/>
          <w:sz w:val="32"/>
          <w:szCs w:val="32"/>
        </w:rPr>
      </w:pPr>
      <w:r>
        <w:rPr>
          <w:rFonts w:hint="eastAsia" w:ascii="宋体" w:hAnsi="宋体" w:eastAsia="宋体" w:cs="宋体"/>
          <w:bCs/>
          <w:sz w:val="32"/>
          <w:szCs w:val="32"/>
        </w:rPr>
        <w:t>前 附 表</w:t>
      </w:r>
    </w:p>
    <w:tbl>
      <w:tblPr>
        <w:tblStyle w:val="32"/>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47"/>
        <w:gridCol w:w="1358"/>
        <w:gridCol w:w="7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b/>
                <w:sz w:val="24"/>
              </w:rPr>
            </w:pPr>
            <w:r>
              <w:rPr>
                <w:rFonts w:hint="eastAsia" w:ascii="宋体" w:hAnsi="宋体" w:eastAsia="宋体" w:cs="宋体"/>
                <w:b/>
                <w:sz w:val="24"/>
              </w:rPr>
              <w:t>序号</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ind w:firstLine="482" w:firstLineChars="200"/>
              <w:jc w:val="center"/>
              <w:rPr>
                <w:rFonts w:hint="eastAsia" w:ascii="宋体" w:hAnsi="宋体" w:eastAsia="宋体" w:cs="宋体"/>
                <w:b/>
                <w:sz w:val="24"/>
              </w:rPr>
            </w:pPr>
            <w:r>
              <w:rPr>
                <w:rFonts w:hint="eastAsia" w:ascii="宋体" w:hAnsi="宋体" w:eastAsia="宋体" w:cs="宋体"/>
                <w:b/>
                <w:sz w:val="24"/>
              </w:rPr>
              <w:t>项　目</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ind w:firstLine="964" w:firstLineChars="400"/>
              <w:jc w:val="both"/>
              <w:rPr>
                <w:rFonts w:hint="eastAsia" w:ascii="宋体" w:hAnsi="宋体" w:eastAsia="宋体" w:cs="宋体"/>
                <w:b/>
                <w:sz w:val="24"/>
              </w:rPr>
            </w:pPr>
            <w:r>
              <w:rPr>
                <w:rFonts w:hint="eastAsia" w:ascii="宋体" w:hAnsi="宋体" w:eastAsia="宋体" w:cs="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813" w:type="dxa"/>
            <w:vMerge w:val="restart"/>
            <w:tcBorders>
              <w:top w:val="single" w:color="auto" w:sz="4" w:space="0"/>
              <w:left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747" w:type="dxa"/>
            <w:vMerge w:val="restart"/>
            <w:tcBorders>
              <w:top w:val="single" w:color="auto" w:sz="4" w:space="0"/>
              <w:left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概况</w:t>
            </w: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项目名称</w:t>
            </w:r>
          </w:p>
        </w:tc>
        <w:tc>
          <w:tcPr>
            <w:tcW w:w="7168" w:type="dxa"/>
            <w:tcBorders>
              <w:top w:val="single" w:color="auto" w:sz="4" w:space="0"/>
              <w:left w:val="single" w:color="auto" w:sz="4" w:space="0"/>
              <w:bottom w:val="single" w:color="auto" w:sz="4" w:space="0"/>
              <w:right w:val="single" w:color="auto" w:sz="4" w:space="0"/>
            </w:tcBorders>
            <w:vAlign w:val="center"/>
          </w:tcPr>
          <w:p>
            <w:pPr>
              <w:wordWrap w:val="0"/>
              <w:spacing w:line="500" w:lineRule="exact"/>
              <w:jc w:val="left"/>
              <w:rPr>
                <w:rFonts w:hint="eastAsia" w:ascii="宋体" w:hAnsi="宋体" w:eastAsia="宋体" w:cs="宋体"/>
                <w:bCs/>
                <w:color w:val="auto"/>
                <w:kern w:val="0"/>
                <w:sz w:val="24"/>
                <w:lang w:eastAsia="zh-CN"/>
              </w:rPr>
            </w:pPr>
            <w:r>
              <w:rPr>
                <w:rFonts w:hint="eastAsia" w:ascii="宋体" w:hAnsi="宋体" w:cs="宋体"/>
                <w:bCs/>
                <w:color w:val="auto"/>
                <w:kern w:val="0"/>
                <w:sz w:val="24"/>
                <w:lang w:eastAsia="zh-CN"/>
              </w:rPr>
              <w:t>山东省临沂卫生学校扩建项目图书信息综合楼</w:t>
            </w:r>
            <w:r>
              <w:rPr>
                <w:rFonts w:hint="eastAsia" w:ascii="宋体" w:hAnsi="宋体" w:cs="宋体"/>
                <w:bCs/>
                <w:color w:val="auto"/>
                <w:kern w:val="0"/>
                <w:sz w:val="24"/>
                <w:lang w:val="en-US" w:eastAsia="zh-CN"/>
              </w:rPr>
              <w:t>B区</w:t>
            </w:r>
            <w:r>
              <w:rPr>
                <w:rFonts w:hint="eastAsia" w:ascii="宋体" w:hAnsi="宋体" w:cs="宋体"/>
                <w:bCs/>
                <w:color w:val="auto"/>
                <w:kern w:val="0"/>
                <w:sz w:val="24"/>
                <w:lang w:eastAsia="zh-CN"/>
              </w:rPr>
              <w:t>图书馆及大厅装饰工程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813" w:type="dxa"/>
            <w:vMerge w:val="continue"/>
            <w:tcBorders>
              <w:top w:val="single" w:color="auto" w:sz="4" w:space="0"/>
              <w:left w:val="single" w:color="auto" w:sz="4" w:space="0"/>
              <w:right w:val="single" w:color="auto" w:sz="4" w:space="0"/>
            </w:tcBorders>
            <w:vAlign w:val="center"/>
          </w:tcPr>
          <w:p>
            <w:pPr>
              <w:tabs>
                <w:tab w:val="left" w:pos="3122"/>
              </w:tabs>
              <w:spacing w:line="500" w:lineRule="exact"/>
              <w:ind w:firstLine="480" w:firstLineChars="200"/>
              <w:jc w:val="center"/>
              <w:rPr>
                <w:rFonts w:hint="eastAsia" w:ascii="宋体" w:hAnsi="宋体" w:eastAsia="宋体" w:cs="宋体"/>
                <w:sz w:val="24"/>
              </w:rPr>
            </w:pPr>
          </w:p>
        </w:tc>
        <w:tc>
          <w:tcPr>
            <w:tcW w:w="747" w:type="dxa"/>
            <w:vMerge w:val="continue"/>
            <w:tcBorders>
              <w:top w:val="single" w:color="auto" w:sz="4" w:space="0"/>
              <w:left w:val="single" w:color="auto" w:sz="4" w:space="0"/>
              <w:right w:val="single" w:color="auto" w:sz="4" w:space="0"/>
            </w:tcBorders>
            <w:vAlign w:val="center"/>
          </w:tcPr>
          <w:p>
            <w:pPr>
              <w:tabs>
                <w:tab w:val="left" w:pos="3122"/>
              </w:tabs>
              <w:spacing w:line="500" w:lineRule="exact"/>
              <w:ind w:firstLine="480" w:firstLineChars="200"/>
              <w:jc w:val="center"/>
              <w:rPr>
                <w:rFonts w:hint="eastAsia" w:ascii="宋体" w:hAnsi="宋体" w:eastAsia="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采 购 人</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color w:val="auto"/>
                <w:sz w:val="24"/>
                <w:lang w:eastAsia="zh-CN"/>
              </w:rPr>
            </w:pPr>
            <w:r>
              <w:rPr>
                <w:rFonts w:hint="eastAsia" w:ascii="宋体" w:hAnsi="宋体" w:cs="宋体"/>
                <w:bCs/>
                <w:color w:val="auto"/>
                <w:kern w:val="0"/>
                <w:sz w:val="24"/>
                <w:lang w:eastAsia="zh-CN"/>
              </w:rPr>
              <w:t>山东省临沂卫生学校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13" w:type="dxa"/>
            <w:vMerge w:val="continue"/>
            <w:tcBorders>
              <w:left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宋体"/>
                <w:sz w:val="24"/>
              </w:rPr>
            </w:pPr>
          </w:p>
        </w:tc>
        <w:tc>
          <w:tcPr>
            <w:tcW w:w="747" w:type="dxa"/>
            <w:vMerge w:val="continue"/>
            <w:tcBorders>
              <w:left w:val="single" w:color="auto" w:sz="4" w:space="0"/>
              <w:right w:val="single" w:color="auto" w:sz="4" w:space="0"/>
            </w:tcBorders>
            <w:vAlign w:val="center"/>
          </w:tcPr>
          <w:p>
            <w:pPr>
              <w:spacing w:line="500" w:lineRule="exact"/>
              <w:ind w:firstLine="480" w:firstLineChars="200"/>
              <w:jc w:val="center"/>
              <w:rPr>
                <w:rFonts w:hint="eastAsia" w:ascii="宋体" w:hAnsi="宋体" w:eastAsia="宋体" w:cs="宋体"/>
                <w:sz w:val="24"/>
              </w:rPr>
            </w:pPr>
          </w:p>
        </w:tc>
        <w:tc>
          <w:tcPr>
            <w:tcW w:w="1358" w:type="dxa"/>
            <w:tcBorders>
              <w:top w:val="single" w:color="auto" w:sz="4" w:space="0"/>
              <w:left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采购说明</w:t>
            </w:r>
          </w:p>
        </w:tc>
        <w:tc>
          <w:tcPr>
            <w:tcW w:w="7168" w:type="dxa"/>
            <w:tcBorders>
              <w:top w:val="single" w:color="auto" w:sz="4" w:space="0"/>
              <w:left w:val="single" w:color="auto" w:sz="4" w:space="0"/>
              <w:right w:val="single" w:color="auto" w:sz="4" w:space="0"/>
            </w:tcBorders>
            <w:vAlign w:val="center"/>
          </w:tcPr>
          <w:p>
            <w:pPr>
              <w:spacing w:line="480" w:lineRule="exact"/>
              <w:jc w:val="left"/>
              <w:rPr>
                <w:rFonts w:hint="eastAsia" w:ascii="宋体" w:hAnsi="宋体" w:eastAsia="宋体" w:cs="宋体"/>
                <w:color w:val="auto"/>
                <w:spacing w:val="-2"/>
                <w:kern w:val="0"/>
                <w:sz w:val="24"/>
                <w:highlight w:val="none"/>
              </w:rPr>
            </w:pPr>
            <w:r>
              <w:rPr>
                <w:rFonts w:hint="eastAsia" w:ascii="宋体" w:hAnsi="宋体" w:eastAsia="宋体" w:cs="宋体"/>
                <w:bCs/>
                <w:color w:val="auto"/>
                <w:spacing w:val="-2"/>
                <w:kern w:val="0"/>
                <w:sz w:val="24"/>
                <w:highlight w:val="none"/>
              </w:rPr>
              <w:t>本项目</w:t>
            </w:r>
            <w:r>
              <w:rPr>
                <w:rFonts w:hint="eastAsia" w:ascii="宋体" w:hAnsi="宋体" w:eastAsia="宋体" w:cs="宋体"/>
                <w:color w:val="auto"/>
                <w:spacing w:val="-2"/>
                <w:kern w:val="0"/>
                <w:sz w:val="24"/>
                <w:highlight w:val="none"/>
              </w:rPr>
              <w:t>涉及施工内容主要为</w:t>
            </w:r>
            <w:r>
              <w:rPr>
                <w:rFonts w:hint="eastAsia" w:ascii="宋体" w:hAnsi="宋体" w:cs="宋体"/>
                <w:bCs/>
                <w:color w:val="auto"/>
                <w:kern w:val="0"/>
                <w:sz w:val="24"/>
                <w:highlight w:val="none"/>
                <w:lang w:eastAsia="zh-CN"/>
              </w:rPr>
              <w:t>山东省临沂卫生学校扩建项目图书信息综合楼</w:t>
            </w:r>
            <w:r>
              <w:rPr>
                <w:rFonts w:hint="eastAsia" w:ascii="宋体" w:hAnsi="宋体" w:cs="宋体"/>
                <w:bCs/>
                <w:color w:val="auto"/>
                <w:kern w:val="0"/>
                <w:sz w:val="24"/>
                <w:highlight w:val="none"/>
                <w:lang w:val="en-US" w:eastAsia="zh-CN"/>
              </w:rPr>
              <w:t>B区</w:t>
            </w:r>
            <w:r>
              <w:rPr>
                <w:rFonts w:hint="eastAsia" w:ascii="宋体" w:hAnsi="宋体" w:cs="宋体"/>
                <w:bCs/>
                <w:color w:val="auto"/>
                <w:kern w:val="0"/>
                <w:sz w:val="24"/>
                <w:highlight w:val="none"/>
                <w:lang w:eastAsia="zh-CN"/>
              </w:rPr>
              <w:t>图书馆及大厅装饰工程（</w:t>
            </w:r>
            <w:r>
              <w:rPr>
                <w:rFonts w:hint="eastAsia" w:ascii="宋体" w:hAnsi="宋体" w:cs="宋体"/>
                <w:bCs/>
                <w:color w:val="auto"/>
                <w:kern w:val="0"/>
                <w:sz w:val="24"/>
                <w:highlight w:val="none"/>
                <w:lang w:val="en-US" w:eastAsia="zh-CN"/>
              </w:rPr>
              <w:t>详见工程量清单</w:t>
            </w:r>
            <w:r>
              <w:rPr>
                <w:rFonts w:hint="eastAsia" w:ascii="宋体" w:hAnsi="宋体" w:cs="宋体"/>
                <w:bCs/>
                <w:color w:val="auto"/>
                <w:kern w:val="0"/>
                <w:sz w:val="24"/>
                <w:highlight w:val="none"/>
                <w:lang w:eastAsia="zh-CN"/>
              </w:rPr>
              <w:t>）</w:t>
            </w:r>
            <w:r>
              <w:rPr>
                <w:rFonts w:hint="eastAsia" w:ascii="宋体" w:hAnsi="宋体" w:eastAsia="宋体" w:cs="宋体"/>
                <w:bCs/>
                <w:color w:val="auto"/>
                <w:spacing w:val="-2"/>
                <w:kern w:val="0"/>
                <w:sz w:val="24"/>
                <w:highlight w:val="none"/>
              </w:rPr>
              <w:t>，</w:t>
            </w:r>
            <w:r>
              <w:rPr>
                <w:rFonts w:hint="eastAsia" w:ascii="宋体" w:hAnsi="宋体" w:eastAsia="宋体" w:cs="宋体"/>
                <w:b/>
                <w:color w:val="auto"/>
                <w:spacing w:val="-2"/>
                <w:kern w:val="0"/>
                <w:sz w:val="24"/>
                <w:highlight w:val="none"/>
              </w:rPr>
              <w:t>共分一个标包。具体内容详见第三章项目概况及要求。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宋体" w:hAnsi="宋体" w:eastAsia="宋体" w:cs="宋体"/>
                <w:b/>
                <w:spacing w:val="-2"/>
                <w:kern w:val="0"/>
                <w:sz w:val="24"/>
              </w:rPr>
            </w:pPr>
            <w:r>
              <w:rPr>
                <w:rFonts w:hint="eastAsia" w:ascii="宋体" w:hAnsi="宋体" w:eastAsia="宋体" w:cs="宋体"/>
                <w:b/>
                <w:spacing w:val="-2"/>
                <w:kern w:val="0"/>
                <w:sz w:val="24"/>
              </w:rPr>
              <w:t>招标控制价</w:t>
            </w:r>
          </w:p>
        </w:tc>
        <w:tc>
          <w:tcPr>
            <w:tcW w:w="7168"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宋体" w:hAnsi="宋体" w:eastAsia="宋体" w:cs="宋体"/>
                <w:b/>
                <w:color w:val="auto"/>
                <w:spacing w:val="-2"/>
                <w:kern w:val="0"/>
                <w:sz w:val="24"/>
                <w:highlight w:val="none"/>
                <w:lang w:val="en-US" w:eastAsia="zh-CN"/>
              </w:rPr>
            </w:pPr>
            <w:r>
              <w:rPr>
                <w:rFonts w:hint="eastAsia" w:ascii="宋体" w:hAnsi="宋体" w:cs="宋体"/>
                <w:b/>
                <w:color w:val="auto"/>
                <w:spacing w:val="-2"/>
                <w:kern w:val="0"/>
                <w:sz w:val="24"/>
                <w:highlight w:val="none"/>
                <w:lang w:val="en-US" w:eastAsia="zh-CN"/>
              </w:rPr>
              <w:t>本项目</w:t>
            </w:r>
            <w:r>
              <w:rPr>
                <w:rFonts w:hint="eastAsia" w:ascii="宋体" w:hAnsi="宋体" w:eastAsia="宋体" w:cs="宋体"/>
                <w:b/>
                <w:color w:val="auto"/>
                <w:spacing w:val="-2"/>
                <w:kern w:val="0"/>
                <w:sz w:val="24"/>
                <w:highlight w:val="none"/>
              </w:rPr>
              <w:t>招标控制价</w:t>
            </w:r>
            <w:r>
              <w:rPr>
                <w:rFonts w:hint="eastAsia" w:ascii="宋体" w:hAnsi="宋体" w:eastAsia="宋体" w:cs="宋体"/>
                <w:b/>
                <w:color w:val="auto"/>
                <w:spacing w:val="-2"/>
                <w:kern w:val="0"/>
                <w:sz w:val="24"/>
                <w:highlight w:val="none"/>
                <w:lang w:eastAsia="zh-CN"/>
              </w:rPr>
              <w:t>：</w:t>
            </w:r>
            <w:r>
              <w:rPr>
                <w:rFonts w:hint="eastAsia" w:ascii="宋体" w:hAnsi="宋体" w:cs="宋体"/>
                <w:b/>
                <w:color w:val="auto"/>
                <w:spacing w:val="-2"/>
                <w:kern w:val="0"/>
                <w:sz w:val="24"/>
                <w:highlight w:val="none"/>
                <w:u w:val="single"/>
                <w:lang w:val="en-US" w:eastAsia="zh-CN"/>
              </w:rPr>
              <w:t xml:space="preserve"> 213.47 </w:t>
            </w:r>
            <w:r>
              <w:rPr>
                <w:rFonts w:hint="eastAsia" w:ascii="宋体" w:hAnsi="宋体" w:eastAsia="宋体" w:cs="宋体"/>
                <w:b/>
                <w:color w:val="auto"/>
                <w:spacing w:val="-2"/>
                <w:kern w:val="0"/>
                <w:sz w:val="24"/>
                <w:highlight w:val="none"/>
                <w:lang w:val="en-US" w:eastAsia="zh-CN"/>
              </w:rPr>
              <w:t>万元；</w:t>
            </w:r>
          </w:p>
          <w:p>
            <w:pPr>
              <w:spacing w:line="480" w:lineRule="exact"/>
              <w:jc w:val="left"/>
              <w:rPr>
                <w:rFonts w:hint="eastAsia" w:ascii="宋体" w:hAnsi="宋体" w:eastAsia="宋体" w:cs="宋体"/>
                <w:b/>
                <w:color w:val="auto"/>
                <w:spacing w:val="-2"/>
                <w:kern w:val="0"/>
                <w:sz w:val="24"/>
                <w:highlight w:val="none"/>
              </w:rPr>
            </w:pPr>
            <w:r>
              <w:rPr>
                <w:rFonts w:hint="eastAsia" w:ascii="宋体" w:hAnsi="宋体" w:eastAsia="宋体" w:cs="宋体"/>
                <w:b/>
                <w:color w:val="auto"/>
                <w:spacing w:val="-2"/>
                <w:kern w:val="0"/>
                <w:sz w:val="24"/>
                <w:highlight w:val="none"/>
              </w:rPr>
              <w:t>投标单位投标时必须在招标控制价以内报价，</w:t>
            </w:r>
            <w:r>
              <w:rPr>
                <w:rFonts w:hint="eastAsia" w:ascii="宋体" w:hAnsi="宋体" w:eastAsia="宋体" w:cs="宋体"/>
                <w:b/>
                <w:color w:val="auto"/>
                <w:spacing w:val="-2"/>
                <w:kern w:val="0"/>
                <w:sz w:val="24"/>
                <w:highlight w:val="none"/>
                <w:lang w:eastAsia="zh-CN"/>
              </w:rPr>
              <w:t>有单项限价的单项报价也应在单项限价范围内，</w:t>
            </w:r>
            <w:r>
              <w:rPr>
                <w:rFonts w:hint="eastAsia" w:ascii="宋体" w:hAnsi="宋体" w:eastAsia="宋体" w:cs="宋体"/>
                <w:b/>
                <w:color w:val="auto"/>
                <w:spacing w:val="-2"/>
                <w:kern w:val="0"/>
                <w:sz w:val="24"/>
                <w:highlight w:val="none"/>
              </w:rPr>
              <w:t>投标报价超出招标控制价者作无效标处理。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资金来源</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政府</w:t>
            </w:r>
            <w:r>
              <w:rPr>
                <w:rFonts w:hint="eastAsia" w:ascii="宋体" w:hAnsi="宋体" w:eastAsia="宋体" w:cs="宋体"/>
                <w:color w:val="auto"/>
                <w:sz w:val="24"/>
                <w:szCs w:val="24"/>
                <w:highlight w:val="none"/>
                <w:lang w:eastAsia="zh-CN"/>
              </w:rPr>
              <w:t>债券</w:t>
            </w:r>
            <w:r>
              <w:rPr>
                <w:rFonts w:hint="default" w:ascii="宋体" w:hAnsi="宋体" w:eastAsia="宋体" w:cs="宋体"/>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采购方式</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color w:val="auto"/>
                <w:sz w:val="24"/>
              </w:rPr>
            </w:pPr>
            <w:r>
              <w:rPr>
                <w:rFonts w:hint="eastAsia" w:ascii="宋体" w:hAnsi="宋体" w:eastAsia="宋体" w:cs="宋体"/>
                <w:color w:val="auto"/>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采购范围</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0"/>
              </w:tabs>
              <w:spacing w:line="480" w:lineRule="exact"/>
              <w:rPr>
                <w:rFonts w:hint="eastAsia" w:ascii="宋体" w:hAnsi="宋体" w:eastAsia="宋体" w:cs="宋体"/>
                <w:b/>
                <w:color w:val="auto"/>
                <w:sz w:val="24"/>
                <w:u w:val="double"/>
              </w:rPr>
            </w:pPr>
            <w:r>
              <w:rPr>
                <w:rFonts w:hint="eastAsia" w:ascii="宋体" w:hAnsi="宋体" w:cs="宋体"/>
                <w:color w:val="auto"/>
                <w:spacing w:val="-2"/>
                <w:kern w:val="0"/>
                <w:sz w:val="24"/>
                <w:lang w:eastAsia="zh-CN"/>
              </w:rPr>
              <w:t>山东省临沂卫生学校扩建项目图书信息综合楼</w:t>
            </w:r>
            <w:r>
              <w:rPr>
                <w:rFonts w:hint="eastAsia" w:ascii="宋体" w:hAnsi="宋体" w:cs="宋体"/>
                <w:color w:val="auto"/>
                <w:spacing w:val="-2"/>
                <w:kern w:val="0"/>
                <w:sz w:val="24"/>
                <w:lang w:val="en-US" w:eastAsia="zh-CN"/>
              </w:rPr>
              <w:t>B区</w:t>
            </w:r>
            <w:r>
              <w:rPr>
                <w:rFonts w:hint="eastAsia" w:ascii="宋体" w:hAnsi="宋体" w:cs="宋体"/>
                <w:color w:val="auto"/>
                <w:spacing w:val="-2"/>
                <w:kern w:val="0"/>
                <w:sz w:val="24"/>
                <w:lang w:eastAsia="zh-CN"/>
              </w:rPr>
              <w:t>图书馆及大厅装饰工程</w:t>
            </w:r>
            <w:r>
              <w:rPr>
                <w:rFonts w:hint="eastAsia" w:ascii="宋体" w:hAnsi="宋体" w:eastAsia="宋体" w:cs="宋体"/>
                <w:color w:val="auto"/>
                <w:spacing w:val="-2"/>
                <w:kern w:val="0"/>
                <w:sz w:val="24"/>
              </w:rPr>
              <w:t>，</w:t>
            </w:r>
            <w:r>
              <w:rPr>
                <w:rFonts w:hint="eastAsia" w:ascii="宋体" w:hAnsi="宋体" w:cs="宋体"/>
                <w:color w:val="auto"/>
                <w:spacing w:val="-2"/>
                <w:kern w:val="0"/>
                <w:sz w:val="24"/>
                <w:lang w:val="en-US" w:eastAsia="zh-CN"/>
              </w:rPr>
              <w:t>具体内容</w:t>
            </w:r>
            <w:r>
              <w:rPr>
                <w:rFonts w:hint="eastAsia" w:ascii="宋体" w:hAnsi="宋体" w:eastAsia="宋体" w:cs="宋体"/>
                <w:b w:val="0"/>
                <w:bCs w:val="0"/>
                <w:color w:val="auto"/>
                <w:spacing w:val="-2"/>
                <w:kern w:val="0"/>
                <w:sz w:val="24"/>
              </w:rPr>
              <w:t>以工程量清单为准。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工期</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是否接受联合体投标</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sz w:val="24"/>
              </w:rPr>
            </w:pPr>
            <w:r>
              <w:rPr>
                <w:rFonts w:hint="eastAsia" w:ascii="宋体" w:hAnsi="宋体" w:eastAsia="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8</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踏勘现场</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sz w:val="24"/>
              </w:rPr>
            </w:pPr>
            <w:r>
              <w:rPr>
                <w:rFonts w:hint="eastAsia" w:ascii="宋体" w:hAnsi="宋体" w:eastAsia="宋体" w:cs="宋体"/>
                <w:sz w:val="24"/>
              </w:rPr>
              <w:t>不组织，投标人自行踏勘，费用自理，风险自担。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9</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投标保证金</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b/>
                <w:sz w:val="24"/>
              </w:rPr>
            </w:pPr>
            <w:r>
              <w:rPr>
                <w:rFonts w:hint="eastAsia" w:ascii="宋体" w:hAnsi="宋体" w:eastAsia="宋体" w:cs="宋体"/>
                <w:sz w:val="24"/>
              </w:rPr>
              <w:t>根据《山东省财政厅关于取消政府采购投标保证金等有关事项的通知》（鲁财采〔2019〕40 号）本项目信誉良好的投标人无投标保证金。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10</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投标有效期</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sz w:val="24"/>
              </w:rPr>
            </w:pPr>
            <w:r>
              <w:rPr>
                <w:rFonts w:hint="eastAsia" w:ascii="宋体" w:hAnsi="宋体" w:eastAsia="宋体" w:cs="宋体"/>
                <w:sz w:val="24"/>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11</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投标文件的递交</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b/>
                <w:bCs/>
                <w:sz w:val="24"/>
              </w:rPr>
            </w:pPr>
            <w:r>
              <w:rPr>
                <w:rFonts w:hint="eastAsia" w:ascii="宋体" w:hAnsi="宋体" w:eastAsia="宋体" w:cs="宋体"/>
                <w:b/>
                <w:bCs/>
                <w:sz w:val="24"/>
              </w:rPr>
              <w:t>①加密的电子投标文件</w:t>
            </w:r>
            <w:r>
              <w:rPr>
                <w:rFonts w:hint="eastAsia" w:ascii="宋体" w:hAnsi="宋体" w:cs="宋体"/>
                <w:b/>
                <w:bCs/>
                <w:sz w:val="24"/>
                <w:lang w:eastAsia="zh-CN"/>
              </w:rPr>
              <w:t>：</w:t>
            </w:r>
            <w:r>
              <w:rPr>
                <w:rFonts w:hint="eastAsia" w:ascii="宋体" w:hAnsi="宋体" w:eastAsia="宋体" w:cs="宋体"/>
                <w:b/>
                <w:bCs/>
                <w:sz w:val="24"/>
              </w:rPr>
              <w:t>在临沂市公共资源电子交易平台领取电子</w:t>
            </w:r>
          </w:p>
          <w:p>
            <w:pPr>
              <w:tabs>
                <w:tab w:val="left" w:pos="3122"/>
              </w:tabs>
              <w:spacing w:line="500" w:lineRule="exact"/>
              <w:jc w:val="left"/>
              <w:rPr>
                <w:rFonts w:hint="eastAsia" w:ascii="宋体" w:hAnsi="宋体" w:eastAsia="宋体" w:cs="宋体"/>
                <w:b/>
                <w:bCs/>
                <w:sz w:val="24"/>
              </w:rPr>
            </w:pPr>
            <w:r>
              <w:rPr>
                <w:rFonts w:hint="eastAsia" w:ascii="宋体" w:hAnsi="宋体" w:cs="宋体"/>
                <w:b/>
                <w:bCs/>
                <w:sz w:val="24"/>
                <w:lang w:val="en-US" w:eastAsia="zh-CN"/>
              </w:rPr>
              <w:t>招标</w:t>
            </w:r>
            <w:r>
              <w:rPr>
                <w:rFonts w:hint="eastAsia" w:ascii="宋体" w:hAnsi="宋体" w:eastAsia="宋体" w:cs="宋体"/>
                <w:b/>
                <w:bCs/>
                <w:sz w:val="24"/>
              </w:rPr>
              <w:t>文件之后制作电子投标文件（格式为.LYTF）在投标截止时间前上传到临沂市公共资源系统中。</w:t>
            </w:r>
          </w:p>
          <w:p>
            <w:pPr>
              <w:tabs>
                <w:tab w:val="left" w:pos="3122"/>
              </w:tabs>
              <w:spacing w:line="500" w:lineRule="exact"/>
              <w:jc w:val="left"/>
              <w:rPr>
                <w:rFonts w:hint="eastAsia" w:ascii="宋体" w:hAnsi="宋体" w:eastAsia="宋体" w:cs="宋体"/>
                <w:sz w:val="24"/>
              </w:rPr>
            </w:pPr>
            <w:r>
              <w:rPr>
                <w:rFonts w:hint="eastAsia" w:ascii="宋体" w:hAnsi="宋体" w:eastAsia="宋体" w:cs="宋体"/>
                <w:b/>
                <w:bCs/>
                <w:sz w:val="24"/>
              </w:rPr>
              <w:t>②纸质版投标文件：成交供应商需在公示后三个工作日内向招标代理提供正本一份、副本肆份的投标文件,电子版标书一份（U盘存储）。 根据《关于深化公共资源交易平台整合共享的指导意见》(国办函〔2019〕41号)、《关于积极应对疫情创新做好招投标工作保障经济平稳运行的通知》(发改电〔2020〕170 号)、《临沂市人民政府关于持续深入优化营商环境的实施意见》 (临政字〔2020〕70 号)、临沂市公共资源交易工作领导小组办公室《关于实行公共资源交易不见面开标的通知》等文件要求，我市各类公共资源交易项目全部实行“不见面”开标，不再现场递交投标文件。投标企业登录临沂市公共资源交易中心网站,按照“办事指南”中“临沂市不见面开标及远程评标操作手册"下载“不见面开标投标人操作手册.doc”并按照其要求,做好相关准备工作。各投标企业的法定代表授权委托代理人不需到开标现场参与本项目开标活动。但委托代理人必须是投标企业本单位职工,并且能够熟练的操作新点不见面开标系统,操作人不按操作规程、不熟悉开标系统由此造成开标不成功的后果由企业自行承担。各投标企业需于投标截止时间之前将加密版电子文件上传至电子招投标交易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12</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评标方法</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b/>
                <w:sz w:val="24"/>
              </w:rPr>
            </w:pPr>
            <w:r>
              <w:rPr>
                <w:rFonts w:hint="eastAsia" w:ascii="宋体" w:hAnsi="宋体" w:eastAsia="宋体" w:cs="宋体"/>
                <w:b w:val="0"/>
                <w:bCs/>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13</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kern w:val="0"/>
                <w:sz w:val="24"/>
                <w:lang w:val="zh-CN"/>
              </w:rPr>
            </w:pPr>
            <w:r>
              <w:rPr>
                <w:rFonts w:hint="eastAsia" w:ascii="宋体" w:hAnsi="宋体" w:eastAsia="宋体" w:cs="宋体"/>
                <w:kern w:val="0"/>
                <w:sz w:val="24"/>
                <w:lang w:val="zh-CN"/>
              </w:rPr>
              <w:t>招标文件澄清或者修改时间</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kern w:val="0"/>
                <w:sz w:val="24"/>
                <w:lang w:val="zh-CN"/>
              </w:rPr>
            </w:pPr>
            <w:r>
              <w:rPr>
                <w:rFonts w:hint="eastAsia" w:ascii="宋体" w:hAnsi="宋体" w:eastAsia="宋体" w:cs="宋体"/>
                <w:kern w:val="0"/>
                <w:sz w:val="24"/>
                <w:lang w:val="zh-CN"/>
              </w:rPr>
              <w:t>递交投标文件截止时间15日前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14</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color w:val="auto"/>
                <w:sz w:val="24"/>
              </w:rPr>
            </w:pPr>
            <w:r>
              <w:rPr>
                <w:rFonts w:hint="eastAsia" w:ascii="宋体" w:hAnsi="宋体" w:eastAsia="宋体" w:cs="宋体"/>
                <w:color w:val="auto"/>
                <w:sz w:val="24"/>
              </w:rPr>
              <w:t>开标时间及地点</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时间：2021年</w:t>
            </w: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rPr>
              <w:t>月</w:t>
            </w:r>
            <w:r>
              <w:rPr>
                <w:rFonts w:hint="eastAsia" w:ascii="宋体" w:hAnsi="宋体" w:cs="宋体"/>
                <w:b/>
                <w:bCs/>
                <w:color w:val="auto"/>
                <w:sz w:val="24"/>
                <w:highlight w:val="none"/>
                <w:lang w:val="en-US" w:eastAsia="zh-CN"/>
              </w:rPr>
              <w:t>21</w:t>
            </w:r>
            <w:r>
              <w:rPr>
                <w:rFonts w:hint="eastAsia" w:ascii="宋体" w:hAnsi="宋体" w:eastAsia="宋体" w:cs="宋体"/>
                <w:b/>
                <w:bCs/>
                <w:color w:val="auto"/>
                <w:sz w:val="24"/>
                <w:highlight w:val="none"/>
              </w:rPr>
              <w:t>日</w:t>
            </w:r>
            <w:r>
              <w:rPr>
                <w:rFonts w:hint="eastAsia" w:ascii="宋体" w:hAnsi="宋体" w:cs="宋体"/>
                <w:b/>
                <w:bCs/>
                <w:color w:val="auto"/>
                <w:sz w:val="24"/>
                <w:highlight w:val="none"/>
                <w:lang w:val="en-US" w:eastAsia="zh-CN"/>
              </w:rPr>
              <w:t>14</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00</w:t>
            </w:r>
            <w:r>
              <w:rPr>
                <w:rFonts w:hint="eastAsia" w:ascii="宋体" w:hAnsi="宋体" w:eastAsia="宋体" w:cs="宋体"/>
                <w:b/>
                <w:bCs/>
                <w:color w:val="auto"/>
                <w:sz w:val="24"/>
                <w:highlight w:val="none"/>
              </w:rPr>
              <w:t>分（北京时间）</w:t>
            </w:r>
          </w:p>
          <w:p>
            <w:pPr>
              <w:widowControl/>
              <w:spacing w:line="500" w:lineRule="exact"/>
              <w:jc w:val="left"/>
              <w:rPr>
                <w:rFonts w:hint="eastAsia" w:ascii="宋体" w:hAnsi="宋体" w:eastAsia="宋体" w:cs="宋体"/>
                <w:color w:val="auto"/>
                <w:sz w:val="24"/>
              </w:rPr>
            </w:pPr>
            <w:r>
              <w:rPr>
                <w:rFonts w:hint="eastAsia" w:ascii="宋体" w:hAnsi="宋体" w:eastAsia="宋体" w:cs="宋体"/>
                <w:b/>
                <w:bCs/>
                <w:color w:val="auto"/>
                <w:sz w:val="24"/>
              </w:rPr>
              <w:t>地点：临沂市公共资源交易中心开标室（临沂市政务服务中心5楼，北京路8号）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15</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是否允许递交备</w:t>
            </w:r>
          </w:p>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选投标方案</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left"/>
              <w:rPr>
                <w:rFonts w:hint="eastAsia" w:ascii="宋体" w:hAnsi="宋体" w:eastAsia="宋体" w:cs="宋体"/>
                <w:sz w:val="24"/>
              </w:rPr>
            </w:pPr>
            <w:r>
              <w:rPr>
                <w:rFonts w:hint="eastAsia" w:ascii="宋体" w:hAnsi="宋体" w:eastAsia="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16</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b/>
                <w:bCs/>
                <w:sz w:val="24"/>
              </w:rPr>
            </w:pPr>
            <w:r>
              <w:rPr>
                <w:rFonts w:hint="eastAsia" w:ascii="宋体" w:hAnsi="宋体" w:eastAsia="宋体" w:cs="宋体"/>
                <w:b/>
                <w:bCs/>
                <w:sz w:val="24"/>
              </w:rPr>
              <w:t>电子化采购说明</w:t>
            </w:r>
          </w:p>
          <w:p>
            <w:pPr>
              <w:tabs>
                <w:tab w:val="left" w:pos="3122"/>
              </w:tabs>
              <w:spacing w:line="500" w:lineRule="exact"/>
              <w:jc w:val="center"/>
              <w:rPr>
                <w:rFonts w:hint="eastAsia" w:ascii="宋体" w:hAnsi="宋体" w:eastAsia="宋体" w:cs="宋体"/>
                <w:sz w:val="24"/>
              </w:rPr>
            </w:pP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480" w:lineRule="exact"/>
              <w:rPr>
                <w:rFonts w:hint="eastAsia" w:ascii="宋体" w:hAnsi="宋体" w:eastAsia="宋体" w:cs="宋体"/>
                <w:sz w:val="24"/>
              </w:rPr>
            </w:pPr>
            <w:r>
              <w:rPr>
                <w:rFonts w:hint="eastAsia" w:ascii="宋体" w:hAnsi="宋体" w:eastAsia="宋体" w:cs="宋体"/>
                <w:sz w:val="24"/>
              </w:rPr>
              <w:t>依据临沂市公共资源交易中心《关于对政府采购项目招标采购环节进行全流程电子化运行的通知》，本项目开标、评标等环节一律使用电子投标文件，实行全流程电子化交易，各投标人按本招标文件和政府采购项目全流程电子化操作手册（下载地址 http://ggzyjy.linyi.gov.cn/TPFront/infodetail/?infoid=08943b4b-8588-4b51-954c-e4a57faa308f&amp;categoryNum=048）制作并上传电子投标文件，因投标人原因造成投标文件无法解密或提供的光盘(或 U 盘)无法上传未加密投标文件、投标文件内容缺失、签章不完整等，后果由投标人自行承担。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17</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bCs/>
                <w:sz w:val="24"/>
                <w:szCs w:val="20"/>
              </w:rPr>
            </w:pPr>
            <w:r>
              <w:rPr>
                <w:rFonts w:hint="eastAsia" w:ascii="宋体" w:hAnsi="宋体" w:eastAsia="宋体" w:cs="宋体"/>
                <w:b/>
                <w:bCs/>
                <w:sz w:val="24"/>
                <w:szCs w:val="20"/>
              </w:rPr>
              <w:t>不见面开标</w:t>
            </w:r>
          </w:p>
        </w:tc>
        <w:tc>
          <w:tcPr>
            <w:tcW w:w="7168" w:type="dxa"/>
            <w:tcBorders>
              <w:top w:val="single" w:color="auto" w:sz="4" w:space="0"/>
              <w:left w:val="single" w:color="auto" w:sz="4" w:space="0"/>
              <w:bottom w:val="single" w:color="auto" w:sz="4" w:space="0"/>
              <w:right w:val="single" w:color="auto" w:sz="4" w:space="0"/>
            </w:tcBorders>
            <w:vAlign w:val="top"/>
          </w:tcPr>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 xml:space="preserve">①各投标企业应在投标文件提交截止时间前使用CA 证书登录网上不见面开标系统进行在线电子签到，投标截止后系统将自动停止签到（未在投标截止时间前签到的投标单位将无法进入后续的开标环节）。 </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②签到完成后各投标企业需在投标截止时间后30分钟内对响应文件进行解密，未能成功解密或未进行解密的响应标文件将被退回，视为投标文件未送达。</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 xml:space="preserve">③全部投标企业解密完成或解密截止时间后，招标人进行解密。 </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 xml:space="preserve">④系统予以公开唱标，供应商可查看唱标信息（系统不提供语音在线播放，该页面停留 5 分钟供投标人查看，如无异议视为同意）。 </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 xml:space="preserve">⑤招标人、招标代理机构人等相关人员在开标记录表上签字确认。 </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 xml:space="preserve">⑥招标代理机构宣布开标结束，在评标系统中点击“开标结束”。 </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 xml:space="preserve">注：关于不见面开标的操作请参照临沂市公共资源交易中心网（http://ggzyjy.linyi.gov.cn/linyi/）“办事指南”中“临沂市不见面开标及远程评标操作手册”下载“不见面开标投标人操作手册.doc”。） </w:t>
            </w:r>
          </w:p>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注：</w:t>
            </w:r>
            <w:r>
              <w:rPr>
                <w:rFonts w:hint="eastAsia" w:ascii="宋体" w:hAnsi="宋体" w:cs="宋体"/>
                <w:sz w:val="24"/>
                <w:szCs w:val="20"/>
                <w:lang w:val="en-US" w:eastAsia="zh-CN"/>
              </w:rPr>
              <w:t>1)</w:t>
            </w:r>
            <w:r>
              <w:rPr>
                <w:rFonts w:hint="eastAsia" w:ascii="宋体" w:hAnsi="宋体" w:eastAsia="宋体" w:cs="宋体"/>
                <w:sz w:val="24"/>
                <w:szCs w:val="20"/>
              </w:rPr>
              <w:t>各投标企业的法定代表授权委托代理人不需到开标现场参与本项目开标活动。但委托代理人必须是投标企业本单位职工，并且能够熟练的操作新点不见面开标系统，操作人不按操作规程、不熟悉开标系统由此造成开标不成功的后果由企业自行承担。</w:t>
            </w:r>
          </w:p>
          <w:p>
            <w:pPr>
              <w:tabs>
                <w:tab w:val="left" w:pos="3122"/>
              </w:tabs>
              <w:spacing w:line="480" w:lineRule="exact"/>
              <w:rPr>
                <w:rFonts w:hint="eastAsia" w:ascii="宋体" w:hAnsi="宋体" w:eastAsia="宋体" w:cs="宋体"/>
                <w:sz w:val="24"/>
                <w:szCs w:val="20"/>
              </w:rPr>
            </w:pPr>
            <w:r>
              <w:rPr>
                <w:rFonts w:hint="eastAsia" w:ascii="宋体" w:hAnsi="宋体" w:cs="宋体"/>
                <w:sz w:val="24"/>
                <w:szCs w:val="20"/>
                <w:lang w:val="en-US" w:eastAsia="zh-CN"/>
              </w:rPr>
              <w:t>2)电子响应文件加密和解密须用同一把 CA 锁，系统使用技术问题请拨打电话：0539-8770063 0539-8770139。</w:t>
            </w:r>
            <w:r>
              <w:rPr>
                <w:rFonts w:hint="eastAsia" w:ascii="宋体" w:hAnsi="宋体" w:eastAsia="宋体" w:cs="宋体"/>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18</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480" w:lineRule="exact"/>
              <w:jc w:val="center"/>
              <w:rPr>
                <w:rFonts w:hint="eastAsia" w:ascii="宋体" w:hAnsi="宋体" w:eastAsia="宋体" w:cs="宋体"/>
                <w:sz w:val="24"/>
                <w:szCs w:val="20"/>
              </w:rPr>
            </w:pPr>
            <w:r>
              <w:rPr>
                <w:rFonts w:hint="eastAsia" w:ascii="宋体" w:hAnsi="宋体" w:eastAsia="宋体" w:cs="宋体"/>
                <w:sz w:val="24"/>
                <w:szCs w:val="20"/>
              </w:rPr>
              <w:t>评标委员会的</w:t>
            </w:r>
          </w:p>
          <w:p>
            <w:pPr>
              <w:tabs>
                <w:tab w:val="left" w:pos="3122"/>
              </w:tabs>
              <w:spacing w:line="480" w:lineRule="exact"/>
              <w:jc w:val="center"/>
              <w:rPr>
                <w:rFonts w:hint="eastAsia" w:ascii="宋体" w:hAnsi="宋体" w:eastAsia="宋体" w:cs="宋体"/>
                <w:sz w:val="24"/>
                <w:szCs w:val="20"/>
              </w:rPr>
            </w:pPr>
            <w:r>
              <w:rPr>
                <w:rFonts w:hint="eastAsia" w:ascii="宋体" w:hAnsi="宋体" w:eastAsia="宋体" w:cs="宋体"/>
                <w:sz w:val="24"/>
                <w:szCs w:val="20"/>
              </w:rPr>
              <w:t>组建</w:t>
            </w:r>
          </w:p>
        </w:tc>
        <w:tc>
          <w:tcPr>
            <w:tcW w:w="7168" w:type="dxa"/>
            <w:tcBorders>
              <w:top w:val="single" w:color="auto" w:sz="4" w:space="0"/>
              <w:left w:val="single" w:color="auto" w:sz="4" w:space="0"/>
              <w:bottom w:val="single" w:color="auto" w:sz="4" w:space="0"/>
              <w:right w:val="single" w:color="auto" w:sz="4" w:space="0"/>
            </w:tcBorders>
            <w:vAlign w:val="top"/>
          </w:tcPr>
          <w:p>
            <w:pPr>
              <w:tabs>
                <w:tab w:val="left" w:pos="3122"/>
              </w:tabs>
              <w:spacing w:line="480" w:lineRule="exact"/>
              <w:rPr>
                <w:rFonts w:hint="eastAsia" w:ascii="宋体" w:hAnsi="宋体" w:eastAsia="宋体" w:cs="宋体"/>
                <w:sz w:val="24"/>
                <w:szCs w:val="20"/>
              </w:rPr>
            </w:pPr>
            <w:r>
              <w:rPr>
                <w:rFonts w:hint="eastAsia" w:ascii="宋体" w:hAnsi="宋体" w:eastAsia="宋体" w:cs="宋体"/>
                <w:sz w:val="24"/>
                <w:szCs w:val="20"/>
              </w:rPr>
              <w:t>评标委员会构成：</w:t>
            </w:r>
            <w:r>
              <w:rPr>
                <w:rFonts w:hint="eastAsia" w:ascii="宋体" w:hAnsi="宋体" w:eastAsia="宋体" w:cs="宋体"/>
                <w:b/>
                <w:bCs/>
                <w:sz w:val="24"/>
                <w:szCs w:val="20"/>
              </w:rPr>
              <w:t>由采购人代表和有关技术、经济等方面的专家组成，成员人数为5人单数</w:t>
            </w:r>
            <w:r>
              <w:rPr>
                <w:rFonts w:hint="eastAsia" w:ascii="宋体" w:hAnsi="宋体" w:eastAsia="宋体" w:cs="宋体"/>
                <w:sz w:val="24"/>
                <w:szCs w:val="20"/>
              </w:rPr>
              <w:t>；其中，技术、经济等方面的专家不少于成员总数的三分之二。</w:t>
            </w:r>
          </w:p>
          <w:p>
            <w:pPr>
              <w:tabs>
                <w:tab w:val="left" w:pos="3122"/>
              </w:tabs>
              <w:spacing w:line="480" w:lineRule="exact"/>
              <w:rPr>
                <w:rFonts w:hint="eastAsia" w:ascii="宋体" w:hAnsi="宋体" w:eastAsia="宋体" w:cs="宋体"/>
                <w:szCs w:val="20"/>
              </w:rPr>
            </w:pPr>
            <w:r>
              <w:rPr>
                <w:rFonts w:hint="eastAsia" w:ascii="宋体" w:hAnsi="宋体" w:eastAsia="宋体" w:cs="宋体"/>
                <w:sz w:val="24"/>
                <w:szCs w:val="20"/>
              </w:rPr>
              <w:t>评标专家确定方式：在山东省政府采购评标专家管理软件系统中随机抽取。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19</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0"/>
              </w:rPr>
            </w:pPr>
            <w:r>
              <w:rPr>
                <w:rFonts w:hint="eastAsia" w:ascii="宋体" w:hAnsi="宋体" w:eastAsia="宋体" w:cs="宋体"/>
                <w:sz w:val="24"/>
                <w:szCs w:val="20"/>
              </w:rPr>
              <w:t>质量要求</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48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必须符合现行国家有关工程施工质量验收规范和标准的要求。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20</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0"/>
              </w:rPr>
            </w:pPr>
            <w:r>
              <w:rPr>
                <w:rFonts w:hint="eastAsia" w:ascii="宋体" w:hAnsi="宋体" w:eastAsia="宋体" w:cs="宋体"/>
                <w:sz w:val="24"/>
                <w:szCs w:val="20"/>
              </w:rPr>
              <w:t>合同</w:t>
            </w:r>
          </w:p>
        </w:tc>
        <w:tc>
          <w:tcPr>
            <w:tcW w:w="716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241" w:firstLineChars="100"/>
              <w:rPr>
                <w:rFonts w:hint="eastAsia" w:ascii="宋体" w:hAnsi="宋体" w:eastAsia="宋体" w:cs="宋体"/>
                <w:sz w:val="24"/>
                <w:szCs w:val="20"/>
              </w:rPr>
            </w:pPr>
            <w:r>
              <w:rPr>
                <w:rFonts w:hint="eastAsia" w:ascii="宋体" w:hAnsi="宋体" w:cs="宋体"/>
                <w:b/>
                <w:bCs/>
                <w:sz w:val="24"/>
                <w:szCs w:val="22"/>
              </w:rPr>
              <w:t>授予合同：采购人须于中标结果公示无异议后10个工作日内签订合同，2日内由中标单位持采购合同副本原件2份递交至招标代理公司进行合同备案事项。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21</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4"/>
                <w:szCs w:val="20"/>
              </w:rPr>
            </w:pPr>
            <w:r>
              <w:rPr>
                <w:rFonts w:hint="eastAsia" w:ascii="宋体" w:hAnsi="宋体" w:eastAsia="宋体" w:cs="宋体"/>
                <w:sz w:val="24"/>
                <w:szCs w:val="20"/>
              </w:rPr>
              <w:t>付款方式</w:t>
            </w:r>
          </w:p>
        </w:tc>
        <w:tc>
          <w:tcPr>
            <w:tcW w:w="7168" w:type="dxa"/>
            <w:tcBorders>
              <w:top w:val="single" w:color="auto" w:sz="4" w:space="0"/>
              <w:left w:val="single" w:color="auto" w:sz="4" w:space="0"/>
              <w:bottom w:val="single" w:color="auto" w:sz="4" w:space="0"/>
              <w:right w:val="single" w:color="auto" w:sz="4" w:space="0"/>
            </w:tcBorders>
            <w:vAlign w:val="center"/>
          </w:tcPr>
          <w:p>
            <w:pPr>
              <w:pStyle w:val="2"/>
              <w:spacing w:line="360" w:lineRule="auto"/>
              <w:ind w:firstLine="440" w:firstLineChars="200"/>
              <w:rPr>
                <w:rFonts w:hint="eastAsia" w:eastAsia="宋体"/>
                <w:color w:val="auto"/>
                <w:sz w:val="22"/>
                <w:szCs w:val="24"/>
                <w:lang w:val="en-US" w:eastAsia="zh-CN"/>
              </w:rPr>
            </w:pPr>
            <w:r>
              <w:rPr>
                <w:rFonts w:hint="eastAsia"/>
                <w:color w:val="auto"/>
                <w:sz w:val="22"/>
                <w:szCs w:val="24"/>
                <w:lang w:val="en-US" w:eastAsia="zh-CN"/>
              </w:rPr>
              <w:t>合同签订后10日内</w:t>
            </w:r>
            <w:r>
              <w:rPr>
                <w:rFonts w:hint="eastAsia" w:eastAsia="宋体"/>
                <w:color w:val="auto"/>
                <w:sz w:val="22"/>
                <w:szCs w:val="24"/>
                <w:lang w:val="en-US" w:eastAsia="zh-CN"/>
              </w:rPr>
              <w:t>承包人应将预付款保函交付至发包人，发包人在收到预付款保函后10日内为其办理预付</w:t>
            </w:r>
            <w:r>
              <w:rPr>
                <w:rFonts w:hint="eastAsia"/>
                <w:color w:val="auto"/>
                <w:sz w:val="22"/>
                <w:szCs w:val="24"/>
                <w:lang w:val="en-US" w:eastAsia="zh-CN"/>
              </w:rPr>
              <w:t>款</w:t>
            </w:r>
            <w:r>
              <w:rPr>
                <w:rFonts w:hint="eastAsia" w:eastAsia="宋体"/>
                <w:color w:val="auto"/>
                <w:sz w:val="22"/>
                <w:szCs w:val="24"/>
                <w:lang w:val="en-US" w:eastAsia="zh-CN"/>
              </w:rPr>
              <w:t>拨款手续，并将预付款一次性支付给承包人</w:t>
            </w:r>
            <w:r>
              <w:rPr>
                <w:rFonts w:hint="eastAsia"/>
                <w:color w:val="auto"/>
                <w:sz w:val="22"/>
                <w:szCs w:val="24"/>
                <w:lang w:val="en-US" w:eastAsia="zh-CN"/>
              </w:rPr>
              <w:t>，</w:t>
            </w:r>
            <w:r>
              <w:rPr>
                <w:rFonts w:hint="eastAsia" w:eastAsia="宋体"/>
                <w:color w:val="auto"/>
                <w:sz w:val="22"/>
                <w:szCs w:val="24"/>
                <w:lang w:val="en-US" w:eastAsia="zh-CN"/>
              </w:rPr>
              <w:t>拨付合同额（扣除暂列金）30%为预付款，工程形象进度产值≥合同额（扣除暂列金）30%，按工程形象进度的80%拨付进度款（预付款一次性扣回），竣工验收合格且经财政部门结算审核完成后拨付至结算价款的97%，剩余3%为质保金，保修期满后无质量问题一次性无息付清余款。</w:t>
            </w:r>
          </w:p>
          <w:p>
            <w:pPr>
              <w:pStyle w:val="2"/>
              <w:spacing w:line="360" w:lineRule="auto"/>
              <w:ind w:firstLine="440" w:firstLineChars="200"/>
              <w:rPr>
                <w:rFonts w:hint="eastAsia" w:eastAsia="宋体"/>
                <w:color w:val="auto"/>
                <w:sz w:val="22"/>
                <w:szCs w:val="24"/>
                <w:lang w:val="en-US" w:eastAsia="zh-CN"/>
              </w:rPr>
            </w:pPr>
            <w:r>
              <w:rPr>
                <w:rFonts w:hint="eastAsia" w:eastAsia="宋体"/>
                <w:color w:val="auto"/>
                <w:sz w:val="22"/>
                <w:szCs w:val="24"/>
                <w:lang w:val="en-US" w:eastAsia="zh-CN"/>
              </w:rPr>
              <w:t>承包人应在发包人支付预付款3天前将预付款担保手续交由发包人，预付款担保形式仅限于现金或银行担保函，采用银行担保函的必须为县级以上国有银行出具，且担保期不能低于合同约定的施工工期，担保金额必须&gt;同期预付款金额。</w:t>
            </w:r>
          </w:p>
          <w:p>
            <w:pPr>
              <w:pStyle w:val="2"/>
              <w:spacing w:line="360" w:lineRule="auto"/>
              <w:ind w:firstLine="440" w:firstLineChars="200"/>
              <w:rPr>
                <w:rFonts w:hint="eastAsia"/>
                <w:color w:val="auto"/>
                <w:lang w:eastAsia="zh-CN"/>
              </w:rPr>
            </w:pPr>
            <w:r>
              <w:rPr>
                <w:rFonts w:hint="eastAsia" w:eastAsia="宋体"/>
                <w:color w:val="auto"/>
                <w:sz w:val="22"/>
                <w:szCs w:val="24"/>
                <w:lang w:val="en-US" w:eastAsia="zh-CN"/>
              </w:rPr>
              <w:t>（保修期自工程通过竣工验收合格之日起计算，保修期两年）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22</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bCs/>
                <w:kern w:val="11"/>
                <w:sz w:val="24"/>
              </w:rPr>
            </w:pPr>
            <w:r>
              <w:rPr>
                <w:rFonts w:hint="eastAsia" w:ascii="宋体" w:hAnsi="宋体" w:eastAsia="宋体" w:cs="宋体"/>
                <w:bCs/>
                <w:kern w:val="11"/>
                <w:sz w:val="24"/>
              </w:rPr>
              <w:t>中标、公证</w:t>
            </w:r>
          </w:p>
          <w:p>
            <w:pPr>
              <w:tabs>
                <w:tab w:val="left" w:pos="3122"/>
              </w:tabs>
              <w:spacing w:line="500" w:lineRule="exact"/>
              <w:jc w:val="center"/>
              <w:rPr>
                <w:rFonts w:hint="eastAsia" w:ascii="宋体" w:hAnsi="宋体" w:eastAsia="宋体" w:cs="宋体"/>
                <w:sz w:val="24"/>
              </w:rPr>
            </w:pPr>
            <w:r>
              <w:rPr>
                <w:rFonts w:hint="eastAsia" w:ascii="宋体" w:hAnsi="宋体" w:eastAsia="宋体" w:cs="宋体"/>
                <w:bCs/>
                <w:kern w:val="11"/>
                <w:sz w:val="24"/>
              </w:rPr>
              <w:t>服务费</w:t>
            </w:r>
          </w:p>
        </w:tc>
        <w:tc>
          <w:tcPr>
            <w:tcW w:w="7168"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本项目招标代理费参照国家计委《招标代理服务收费管理暂行办法》（计价格[2002]1980号）和国家发展改革委办公厅《关于招标代理服务收费有关问题的通知》（发改办价格[2003]857号）等有关规定执行，由中标单位支付。</w:t>
            </w:r>
          </w:p>
          <w:p>
            <w:pPr>
              <w:tabs>
                <w:tab w:val="left" w:pos="3122"/>
              </w:tabs>
              <w:spacing w:line="400" w:lineRule="exact"/>
              <w:jc w:val="left"/>
              <w:rPr>
                <w:rFonts w:hint="eastAsia" w:ascii="宋体" w:hAnsi="宋体" w:eastAsia="宋体" w:cs="宋体"/>
                <w:sz w:val="24"/>
                <w:lang w:eastAsia="zh-CN"/>
              </w:rPr>
            </w:pPr>
            <w:r>
              <w:rPr>
                <w:rFonts w:hint="eastAsia" w:ascii="宋体" w:hAnsi="宋体" w:eastAsia="宋体" w:cs="宋体"/>
                <w:color w:val="000000"/>
                <w:sz w:val="24"/>
              </w:rPr>
              <w:t>公证费等相关费按现行国家、省、市有关规定计取，由中标单位支付</w:t>
            </w:r>
            <w:r>
              <w:rPr>
                <w:rFonts w:hint="eastAsia" w:ascii="宋体" w:hAnsi="宋体" w:cs="宋体"/>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23</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000000"/>
                <w:sz w:val="24"/>
                <w:highlight w:val="yellow"/>
              </w:rPr>
            </w:pPr>
            <w:r>
              <w:rPr>
                <w:rFonts w:hint="eastAsia" w:ascii="宋体" w:hAnsi="宋体" w:eastAsia="宋体" w:cs="宋体"/>
                <w:color w:val="000000"/>
                <w:sz w:val="24"/>
                <w:highlight w:val="none"/>
              </w:rPr>
              <w:t>履约保证金</w:t>
            </w:r>
          </w:p>
        </w:tc>
        <w:tc>
          <w:tcPr>
            <w:tcW w:w="716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4"/>
                <w:szCs w:val="24"/>
                <w:u w:val="single"/>
                <w:lang w:eastAsia="zh-CN"/>
              </w:rPr>
            </w:pPr>
            <w:r>
              <w:rPr>
                <w:rFonts w:hint="eastAsia" w:ascii="宋体" w:hAnsi="宋体"/>
                <w:sz w:val="24"/>
                <w:szCs w:val="24"/>
                <w:lang w:eastAsia="zh-CN"/>
              </w:rPr>
              <w:t>金额：</w:t>
            </w:r>
            <w:r>
              <w:rPr>
                <w:rFonts w:hint="eastAsia" w:ascii="宋体" w:hAnsi="宋体"/>
                <w:color w:val="auto"/>
                <w:sz w:val="24"/>
                <w:szCs w:val="24"/>
                <w:lang w:eastAsia="zh-CN"/>
              </w:rPr>
              <w:t>合同总价的</w:t>
            </w:r>
            <w:r>
              <w:rPr>
                <w:rFonts w:hint="eastAsia" w:ascii="宋体" w:hAnsi="宋体"/>
                <w:color w:val="auto"/>
                <w:sz w:val="24"/>
                <w:szCs w:val="24"/>
                <w:u w:val="single"/>
                <w:lang w:eastAsia="zh-CN"/>
              </w:rPr>
              <w:t xml:space="preserve"> </w:t>
            </w:r>
            <w:r>
              <w:rPr>
                <w:rFonts w:hint="eastAsia" w:ascii="宋体" w:hAnsi="宋体"/>
                <w:color w:val="auto"/>
                <w:sz w:val="24"/>
                <w:szCs w:val="24"/>
                <w:u w:val="single"/>
                <w:lang w:val="en-US" w:eastAsia="zh-CN"/>
              </w:rPr>
              <w:t>/</w:t>
            </w:r>
            <w:r>
              <w:rPr>
                <w:rFonts w:hint="eastAsia" w:ascii="宋体" w:hAnsi="宋体"/>
                <w:color w:val="auto"/>
                <w:sz w:val="24"/>
                <w:szCs w:val="24"/>
                <w:u w:val="single"/>
                <w:lang w:eastAsia="zh-CN"/>
              </w:rPr>
              <w:t>　</w:t>
            </w:r>
          </w:p>
          <w:p>
            <w:pPr>
              <w:spacing w:line="360" w:lineRule="exact"/>
              <w:rPr>
                <w:rFonts w:ascii="宋体" w:hAnsi="宋体"/>
                <w:color w:val="auto"/>
                <w:sz w:val="24"/>
                <w:szCs w:val="24"/>
                <w:u w:val="single"/>
                <w:lang w:eastAsia="zh-CN"/>
              </w:rPr>
            </w:pPr>
            <w:r>
              <w:rPr>
                <w:rFonts w:hint="eastAsia" w:ascii="宋体" w:hAnsi="宋体"/>
                <w:color w:val="auto"/>
                <w:sz w:val="24"/>
                <w:szCs w:val="24"/>
                <w:lang w:eastAsia="zh-CN"/>
              </w:rPr>
              <w:t>（</w:t>
            </w:r>
            <w:r>
              <w:rPr>
                <w:rFonts w:ascii="宋体" w:hAnsi="宋体"/>
                <w:color w:val="auto"/>
                <w:sz w:val="24"/>
                <w:szCs w:val="24"/>
                <w:lang w:eastAsia="zh-CN"/>
              </w:rPr>
              <w:t>不得超过政府采购</w:t>
            </w:r>
            <w:r>
              <w:rPr>
                <w:rFonts w:hint="eastAsia" w:ascii="宋体" w:hAnsi="宋体"/>
                <w:color w:val="auto"/>
                <w:sz w:val="24"/>
                <w:szCs w:val="24"/>
                <w:lang w:eastAsia="zh-CN"/>
              </w:rPr>
              <w:t>合同</w:t>
            </w:r>
            <w:r>
              <w:rPr>
                <w:rFonts w:ascii="宋体" w:hAnsi="宋体"/>
                <w:color w:val="auto"/>
                <w:sz w:val="24"/>
                <w:szCs w:val="24"/>
                <w:lang w:eastAsia="zh-CN"/>
              </w:rPr>
              <w:t>金额的</w:t>
            </w:r>
            <w:r>
              <w:rPr>
                <w:rFonts w:hint="eastAsia" w:ascii="宋体" w:hAnsi="宋体"/>
                <w:color w:val="auto"/>
                <w:sz w:val="24"/>
                <w:szCs w:val="24"/>
                <w:lang w:eastAsia="zh-CN"/>
              </w:rPr>
              <w:t>10%）</w:t>
            </w:r>
          </w:p>
          <w:p>
            <w:pPr>
              <w:spacing w:line="360" w:lineRule="exact"/>
              <w:rPr>
                <w:rFonts w:ascii="宋体" w:hAnsi="宋体"/>
                <w:color w:val="auto"/>
                <w:sz w:val="24"/>
                <w:szCs w:val="24"/>
                <w:u w:val="single"/>
                <w:lang w:eastAsia="zh-CN"/>
              </w:rPr>
            </w:pPr>
            <w:r>
              <w:rPr>
                <w:rFonts w:hint="eastAsia" w:ascii="宋体" w:hAnsi="宋体"/>
                <w:color w:val="auto"/>
                <w:sz w:val="24"/>
                <w:szCs w:val="24"/>
                <w:lang w:eastAsia="zh-CN"/>
              </w:rPr>
              <w:t>履约保证金形式：</w:t>
            </w:r>
            <w:r>
              <w:rPr>
                <w:rFonts w:hint="eastAsia" w:ascii="宋体" w:hAnsi="宋体"/>
                <w:color w:val="auto"/>
                <w:sz w:val="24"/>
                <w:szCs w:val="24"/>
                <w:u w:val="single"/>
                <w:lang w:eastAsia="zh-CN"/>
              </w:rPr>
              <w:t>银行本票、银行汇票、电汇(含网银转账)、保函。</w:t>
            </w:r>
          </w:p>
          <w:p>
            <w:pPr>
              <w:spacing w:line="500" w:lineRule="exact"/>
              <w:jc w:val="left"/>
              <w:rPr>
                <w:rFonts w:hint="eastAsia" w:ascii="宋体" w:hAnsi="宋体" w:eastAsia="宋体" w:cs="宋体"/>
                <w:b/>
                <w:color w:val="000000"/>
                <w:sz w:val="24"/>
                <w:highlight w:val="yellow"/>
              </w:rPr>
            </w:pPr>
            <w:r>
              <w:rPr>
                <w:rFonts w:hint="eastAsia" w:ascii="宋体" w:hAnsi="宋体"/>
                <w:color w:val="auto"/>
                <w:sz w:val="24"/>
                <w:szCs w:val="24"/>
                <w:lang w:eastAsia="zh-CN"/>
              </w:rPr>
              <w:t>提交履约保证金的</w:t>
            </w:r>
            <w:r>
              <w:rPr>
                <w:rFonts w:hint="eastAsia" w:ascii="宋体" w:hAnsi="宋体"/>
                <w:sz w:val="24"/>
                <w:szCs w:val="24"/>
                <w:lang w:eastAsia="zh-CN"/>
              </w:rPr>
              <w:t xml:space="preserve">时间：签订合同后 </w:t>
            </w:r>
            <w:r>
              <w:rPr>
                <w:rFonts w:hint="eastAsia" w:ascii="宋体" w:hAnsi="宋体"/>
                <w:sz w:val="24"/>
                <w:szCs w:val="24"/>
                <w:u w:val="single"/>
                <w:lang w:eastAsia="zh-CN"/>
              </w:rPr>
              <w:t xml:space="preserve">  </w:t>
            </w:r>
            <w:r>
              <w:rPr>
                <w:rFonts w:hint="eastAsia" w:ascii="宋体" w:hAnsi="宋体"/>
                <w:sz w:val="24"/>
                <w:szCs w:val="24"/>
                <w:u w:val="single"/>
                <w:lang w:val="en-US" w:eastAsia="zh-CN"/>
              </w:rPr>
              <w:t>/</w:t>
            </w:r>
            <w:r>
              <w:rPr>
                <w:rFonts w:hint="eastAsia" w:ascii="宋体" w:hAnsi="宋体"/>
                <w:sz w:val="24"/>
                <w:szCs w:val="24"/>
                <w:u w:val="single"/>
                <w:lang w:eastAsia="zh-CN"/>
              </w:rPr>
              <w:t xml:space="preserve">  </w:t>
            </w:r>
            <w:r>
              <w:rPr>
                <w:rFonts w:hint="eastAsia" w:ascii="宋体" w:hAnsi="宋体"/>
                <w:sz w:val="24"/>
                <w:szCs w:val="24"/>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24</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color w:val="000000"/>
                <w:sz w:val="24"/>
              </w:rPr>
            </w:pPr>
            <w:r>
              <w:rPr>
                <w:rFonts w:hint="eastAsia" w:ascii="宋体" w:hAnsi="宋体" w:eastAsia="宋体" w:cs="宋体"/>
                <w:b/>
                <w:bCs/>
                <w:kern w:val="11"/>
                <w:sz w:val="24"/>
                <w:szCs w:val="20"/>
              </w:rPr>
              <w:t>注意事项</w:t>
            </w:r>
          </w:p>
        </w:tc>
        <w:tc>
          <w:tcPr>
            <w:tcW w:w="7168" w:type="dxa"/>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s="宋体"/>
                <w:b/>
                <w:color w:val="000000"/>
                <w:sz w:val="24"/>
                <w:u w:val="single"/>
              </w:rPr>
            </w:pPr>
            <w:r>
              <w:rPr>
                <w:rFonts w:hint="eastAsia" w:ascii="宋体" w:hAnsi="宋体" w:eastAsia="宋体" w:cs="宋体"/>
                <w:b/>
                <w:bCs/>
                <w:kern w:val="11"/>
                <w:sz w:val="24"/>
                <w:szCs w:val="20"/>
                <w:u w:val="single"/>
              </w:rPr>
              <w:t>潜在投标人应自行关注临沂市公共资源交易网电子招投标交易平台，因自身贻误行为未成功下载采购文件及澄清、修改、补充等文件、未在中国山东政府采购网通过对本项目投标备案录入，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25</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color w:val="000000"/>
                <w:sz w:val="24"/>
              </w:rPr>
            </w:pPr>
            <w:r>
              <w:rPr>
                <w:rFonts w:hint="eastAsia" w:ascii="宋体" w:hAnsi="宋体" w:eastAsia="宋体" w:cs="宋体"/>
                <w:color w:val="000000"/>
                <w:sz w:val="24"/>
              </w:rPr>
              <w:t>项目负责人</w:t>
            </w:r>
          </w:p>
        </w:tc>
        <w:tc>
          <w:tcPr>
            <w:tcW w:w="7168" w:type="dxa"/>
            <w:tcBorders>
              <w:top w:val="single" w:color="auto" w:sz="4" w:space="0"/>
              <w:left w:val="single" w:color="auto" w:sz="4" w:space="0"/>
              <w:right w:val="single" w:color="auto" w:sz="4" w:space="0"/>
            </w:tcBorders>
            <w:vAlign w:val="center"/>
          </w:tcPr>
          <w:p>
            <w:pPr>
              <w:snapToGrid w:val="0"/>
              <w:spacing w:line="500" w:lineRule="exact"/>
              <w:jc w:val="left"/>
              <w:rPr>
                <w:rFonts w:hint="eastAsia" w:ascii="宋体" w:hAnsi="宋体" w:eastAsia="宋体" w:cs="宋体"/>
                <w:color w:val="000000"/>
                <w:sz w:val="24"/>
                <w:lang w:eastAsia="zh-CN"/>
              </w:rPr>
            </w:pPr>
            <w:r>
              <w:rPr>
                <w:rFonts w:hint="eastAsia" w:ascii="宋体" w:hAnsi="宋体" w:eastAsia="宋体" w:cs="宋体"/>
                <w:color w:val="000000"/>
                <w:sz w:val="24"/>
              </w:rPr>
              <w:t>联系人：</w:t>
            </w:r>
            <w:r>
              <w:rPr>
                <w:rFonts w:hint="eastAsia" w:ascii="宋体" w:hAnsi="宋体" w:cs="宋体"/>
                <w:color w:val="000000"/>
                <w:sz w:val="24"/>
                <w:lang w:eastAsia="zh-CN"/>
              </w:rPr>
              <w:t>夏工</w:t>
            </w:r>
            <w:r>
              <w:rPr>
                <w:rFonts w:hint="eastAsia" w:ascii="宋体" w:hAnsi="宋体" w:eastAsia="宋体" w:cs="宋体"/>
                <w:color w:val="000000"/>
                <w:sz w:val="24"/>
              </w:rPr>
              <w:t xml:space="preserve">   联系电话：</w:t>
            </w:r>
            <w:r>
              <w:rPr>
                <w:rFonts w:hint="eastAsia" w:ascii="宋体" w:hAnsi="宋体" w:cs="宋体"/>
                <w:color w:val="000000"/>
                <w:sz w:val="24"/>
                <w:lang w:eastAsia="zh-CN"/>
              </w:rPr>
              <w:t>18396713086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3"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26</w:t>
            </w:r>
          </w:p>
        </w:tc>
        <w:tc>
          <w:tcPr>
            <w:tcW w:w="2105" w:type="dxa"/>
            <w:gridSpan w:val="2"/>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color w:val="000000"/>
                <w:sz w:val="24"/>
                <w:lang w:val="en-US" w:eastAsia="zh-CN"/>
              </w:rPr>
            </w:pPr>
            <w:r>
              <w:rPr>
                <w:rFonts w:hint="eastAsia" w:ascii="宋体" w:hAnsi="宋体" w:eastAsia="宋体" w:cs="宋体"/>
                <w:color w:val="000000"/>
                <w:sz w:val="24"/>
              </w:rPr>
              <w:t>资格审查</w:t>
            </w:r>
            <w:r>
              <w:rPr>
                <w:rFonts w:hint="eastAsia" w:ascii="宋体" w:hAnsi="宋体" w:cs="宋体"/>
                <w:color w:val="000000"/>
                <w:sz w:val="24"/>
                <w:lang w:val="en-US" w:eastAsia="zh-CN"/>
              </w:rPr>
              <w:t>资料</w:t>
            </w:r>
          </w:p>
        </w:tc>
        <w:tc>
          <w:tcPr>
            <w:tcW w:w="7168" w:type="dxa"/>
            <w:tcBorders>
              <w:top w:val="single" w:color="auto" w:sz="4" w:space="0"/>
              <w:left w:val="single" w:color="auto" w:sz="4" w:space="0"/>
              <w:right w:val="single" w:color="auto" w:sz="4" w:space="0"/>
            </w:tcBorders>
            <w:vAlign w:val="center"/>
          </w:tcPr>
          <w:p>
            <w:pPr>
              <w:spacing w:line="440" w:lineRule="exact"/>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资格审查方式：</w:t>
            </w:r>
            <w:r>
              <w:rPr>
                <w:rFonts w:hint="eastAsia" w:ascii="宋体" w:hAnsi="宋体" w:eastAsia="宋体" w:cs="宋体"/>
                <w:b/>
                <w:bCs/>
                <w:color w:val="auto"/>
                <w:sz w:val="24"/>
                <w:szCs w:val="20"/>
                <w:highlight w:val="none"/>
              </w:rPr>
              <w:t>资格后审</w:t>
            </w:r>
            <w:r>
              <w:rPr>
                <w:rFonts w:hint="eastAsia" w:ascii="宋体" w:hAnsi="宋体" w:cs="宋体"/>
                <w:b/>
                <w:bCs/>
                <w:color w:val="auto"/>
                <w:sz w:val="24"/>
                <w:szCs w:val="20"/>
                <w:highlight w:val="none"/>
                <w:lang w:val="en-US" w:eastAsia="zh-CN"/>
              </w:rPr>
              <w:t>/合格制</w:t>
            </w:r>
          </w:p>
          <w:p>
            <w:pPr>
              <w:spacing w:line="440" w:lineRule="exact"/>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lang w:val="en-US" w:eastAsia="zh-CN"/>
              </w:rPr>
              <w:t>具体</w:t>
            </w:r>
            <w:r>
              <w:rPr>
                <w:rFonts w:hint="eastAsia" w:ascii="宋体" w:hAnsi="宋体" w:eastAsia="宋体" w:cs="宋体"/>
                <w:color w:val="auto"/>
                <w:sz w:val="24"/>
                <w:szCs w:val="20"/>
                <w:highlight w:val="none"/>
              </w:rPr>
              <w:t>资格审查资料</w:t>
            </w:r>
            <w:r>
              <w:rPr>
                <w:rFonts w:hint="eastAsia" w:ascii="宋体" w:hAnsi="宋体" w:cs="宋体"/>
                <w:color w:val="auto"/>
                <w:sz w:val="24"/>
                <w:szCs w:val="20"/>
                <w:highlight w:val="none"/>
                <w:lang w:eastAsia="zh-CN"/>
              </w:rPr>
              <w:t>：</w:t>
            </w:r>
          </w:p>
          <w:p>
            <w:pPr>
              <w:autoSpaceDE w:val="0"/>
              <w:autoSpaceDN w:val="0"/>
              <w:spacing w:line="44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①</w:t>
            </w:r>
            <w:r>
              <w:rPr>
                <w:rFonts w:hint="eastAsia" w:ascii="宋体" w:hAnsi="宋体" w:cs="宋体"/>
                <w:color w:val="auto"/>
                <w:sz w:val="24"/>
                <w:szCs w:val="20"/>
                <w:highlight w:val="none"/>
                <w:lang w:eastAsia="zh-CN"/>
              </w:rPr>
              <w:t>有效期内</w:t>
            </w:r>
            <w:r>
              <w:rPr>
                <w:rFonts w:hint="eastAsia" w:ascii="宋体" w:hAnsi="宋体" w:eastAsia="宋体" w:cs="宋体"/>
                <w:color w:val="auto"/>
                <w:sz w:val="24"/>
                <w:szCs w:val="20"/>
                <w:highlight w:val="none"/>
              </w:rPr>
              <w:t>营业执照、税务登记证、组织机构代码证（三证合一换证的只需提供营业执照）；</w:t>
            </w:r>
          </w:p>
          <w:p>
            <w:pPr>
              <w:autoSpaceDE w:val="0"/>
              <w:autoSpaceDN w:val="0"/>
              <w:spacing w:line="44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②有效期内的资质证书；</w:t>
            </w:r>
          </w:p>
          <w:p>
            <w:pPr>
              <w:autoSpaceDE w:val="0"/>
              <w:autoSpaceDN w:val="0"/>
              <w:spacing w:line="44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③有效期内的安全生产许可证；</w:t>
            </w:r>
          </w:p>
          <w:p>
            <w:pPr>
              <w:autoSpaceDE w:val="0"/>
              <w:autoSpaceDN w:val="0"/>
              <w:spacing w:line="44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④拟派项目经理</w:t>
            </w:r>
            <w:r>
              <w:rPr>
                <w:rFonts w:hint="eastAsia" w:ascii="宋体" w:hAnsi="宋体" w:eastAsia="宋体" w:cs="宋体"/>
                <w:color w:val="auto"/>
                <w:sz w:val="24"/>
                <w:szCs w:val="20"/>
                <w:highlight w:val="none"/>
                <w:lang w:val="en-US" w:eastAsia="zh-CN"/>
              </w:rPr>
              <w:t>提供</w:t>
            </w:r>
            <w:r>
              <w:rPr>
                <w:rFonts w:hint="eastAsia" w:ascii="宋体" w:hAnsi="宋体" w:eastAsia="宋体" w:cs="Times New Roman"/>
                <w:color w:val="auto"/>
                <w:sz w:val="24"/>
                <w:highlight w:val="none"/>
              </w:rPr>
              <w:t>贰级（含）及以上注册建造师执业资格证书</w:t>
            </w:r>
            <w:r>
              <w:rPr>
                <w:rFonts w:hint="eastAsia" w:ascii="宋体" w:hAnsi="宋体" w:eastAsia="宋体" w:cs="宋体"/>
                <w:color w:val="auto"/>
                <w:sz w:val="24"/>
                <w:szCs w:val="20"/>
                <w:highlight w:val="none"/>
              </w:rPr>
              <w:t>（建筑工程专业）</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有效的安全生产考核合格证书</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身份证、劳动合同、无在建承诺书、</w:t>
            </w:r>
            <w:r>
              <w:rPr>
                <w:rFonts w:hint="eastAsia" w:ascii="宋体" w:hAnsi="宋体" w:eastAsia="宋体" w:cs="宋体"/>
                <w:color w:val="auto"/>
                <w:sz w:val="24"/>
                <w:szCs w:val="20"/>
                <w:highlight w:val="none"/>
              </w:rPr>
              <w:t>202</w:t>
            </w:r>
            <w:r>
              <w:rPr>
                <w:rFonts w:hint="eastAsia" w:ascii="宋体" w:hAnsi="宋体" w:cs="宋体"/>
                <w:color w:val="auto"/>
                <w:sz w:val="24"/>
                <w:szCs w:val="20"/>
                <w:highlight w:val="none"/>
                <w:lang w:val="en-US" w:eastAsia="zh-CN"/>
              </w:rPr>
              <w:t>1</w:t>
            </w:r>
            <w:r>
              <w:rPr>
                <w:rFonts w:hint="eastAsia" w:ascii="宋体" w:hAnsi="宋体" w:eastAsia="宋体" w:cs="宋体"/>
                <w:color w:val="auto"/>
                <w:sz w:val="24"/>
                <w:szCs w:val="20"/>
                <w:highlight w:val="none"/>
              </w:rPr>
              <w:t>年</w:t>
            </w:r>
            <w:r>
              <w:rPr>
                <w:rFonts w:hint="eastAsia" w:ascii="宋体" w:hAnsi="宋体" w:cs="宋体"/>
                <w:color w:val="auto"/>
                <w:sz w:val="24"/>
                <w:szCs w:val="20"/>
                <w:highlight w:val="none"/>
                <w:lang w:val="en-US" w:eastAsia="zh-CN"/>
              </w:rPr>
              <w:t>1</w:t>
            </w:r>
            <w:r>
              <w:rPr>
                <w:rFonts w:hint="eastAsia" w:ascii="宋体" w:hAnsi="宋体" w:eastAsia="宋体" w:cs="宋体"/>
                <w:color w:val="auto"/>
                <w:sz w:val="24"/>
                <w:szCs w:val="20"/>
                <w:highlight w:val="none"/>
              </w:rPr>
              <w:t>月至今，带有校验码的社保缴费明细或提供人社部门签章的社保缴费明细</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需明确到个人，网上可查,否则不予认可</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⑤2020年度经会计师事务所或者审计机构审计的财务会计报告</w:t>
            </w:r>
            <w:r>
              <w:rPr>
                <w:rFonts w:hint="eastAsia" w:ascii="宋体" w:hAnsi="宋体"/>
                <w:color w:val="auto"/>
                <w:sz w:val="24"/>
                <w:szCs w:val="24"/>
                <w:highlight w:val="none"/>
              </w:rPr>
              <w:t>或基本开户银行出具的资信证明</w:t>
            </w:r>
            <w:r>
              <w:rPr>
                <w:rFonts w:hint="eastAsia" w:ascii="宋体" w:hAnsi="宋体" w:eastAsia="宋体" w:cs="宋体"/>
                <w:color w:val="auto"/>
                <w:sz w:val="24"/>
                <w:szCs w:val="20"/>
                <w:highlight w:val="none"/>
              </w:rPr>
              <w:t>，财务会计报告</w:t>
            </w:r>
            <w:r>
              <w:rPr>
                <w:rFonts w:hint="eastAsia" w:ascii="宋体" w:hAnsi="宋体" w:eastAsia="宋体" w:cs="宋体"/>
                <w:color w:val="auto"/>
                <w:sz w:val="24"/>
                <w:szCs w:val="20"/>
                <w:highlight w:val="none"/>
                <w:lang w:val="en-US" w:eastAsia="zh-CN"/>
              </w:rPr>
              <w:t>应</w:t>
            </w:r>
            <w:r>
              <w:rPr>
                <w:rFonts w:hint="eastAsia" w:ascii="宋体" w:hAnsi="宋体" w:eastAsia="宋体" w:cs="宋体"/>
                <w:color w:val="auto"/>
                <w:sz w:val="24"/>
                <w:szCs w:val="20"/>
                <w:highlight w:val="none"/>
              </w:rPr>
              <w:t>包括资产负债表、损益表、现金流量表、利润表和财务状况说明书；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rPr>
              <w:t>⑥未被列入“信用中国”网站失信被执行人名单、重大税收违法案件当事人名单</w:t>
            </w:r>
            <w:r>
              <w:rPr>
                <w:rFonts w:hint="eastAsia" w:ascii="宋体" w:hAnsi="宋体" w:eastAsia="宋体" w:cs="宋体"/>
                <w:color w:val="auto"/>
                <w:sz w:val="24"/>
                <w:szCs w:val="20"/>
                <w:highlight w:val="none"/>
                <w:lang w:val="en-US" w:eastAsia="zh-CN"/>
              </w:rPr>
              <w:t>网上截图；</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4"/>
                <w:szCs w:val="20"/>
                <w:highlight w:val="none"/>
                <w:lang w:eastAsia="zh-CN"/>
              </w:rPr>
            </w:pPr>
            <w:r>
              <w:rPr>
                <w:rFonts w:hint="eastAsia" w:ascii="宋体" w:hAnsi="宋体" w:eastAsia="宋体" w:cs="宋体"/>
                <w:color w:val="auto"/>
                <w:sz w:val="24"/>
                <w:szCs w:val="20"/>
                <w:highlight w:val="none"/>
                <w:lang w:eastAsia="zh-CN"/>
              </w:rPr>
              <w:t>⑦</w:t>
            </w:r>
            <w:r>
              <w:rPr>
                <w:rFonts w:hint="eastAsia" w:ascii="宋体" w:hAnsi="宋体" w:eastAsia="宋体" w:cs="宋体"/>
                <w:color w:val="auto"/>
                <w:sz w:val="24"/>
                <w:szCs w:val="20"/>
                <w:highlight w:val="none"/>
              </w:rPr>
              <w:t>提供在“中国裁判文书网”无行贿记录证明</w:t>
            </w:r>
            <w:r>
              <w:rPr>
                <w:rFonts w:hint="eastAsia" w:ascii="宋体" w:hAnsi="宋体" w:eastAsia="宋体" w:cs="宋体"/>
                <w:color w:val="auto"/>
                <w:sz w:val="24"/>
                <w:szCs w:val="20"/>
                <w:highlight w:val="none"/>
                <w:lang w:val="en-US" w:eastAsia="zh-CN"/>
              </w:rPr>
              <w:t>截图</w:t>
            </w:r>
            <w:r>
              <w:rPr>
                <w:rFonts w:hint="eastAsia" w:ascii="宋体" w:hAnsi="宋体" w:cs="宋体"/>
                <w:color w:val="auto"/>
                <w:sz w:val="24"/>
                <w:szCs w:val="20"/>
                <w:highlight w:val="none"/>
                <w:lang w:eastAsia="zh-CN"/>
              </w:rPr>
              <w:t>；</w:t>
            </w:r>
          </w:p>
          <w:p>
            <w:pPr>
              <w:autoSpaceDE w:val="0"/>
              <w:autoSpaceDN w:val="0"/>
              <w:spacing w:line="440" w:lineRule="exac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⑧参加政府采购活动前三年内，在经营活动中没有重大违法记录书面声明。</w:t>
            </w:r>
          </w:p>
          <w:p>
            <w:pPr>
              <w:autoSpaceDE w:val="0"/>
              <w:autoSpaceDN w:val="0"/>
              <w:spacing w:line="440" w:lineRule="exact"/>
              <w:rPr>
                <w:rFonts w:hint="eastAsia" w:ascii="宋体" w:hAnsi="宋体" w:eastAsia="宋体" w:cs="宋体"/>
                <w:color w:val="auto"/>
                <w:sz w:val="24"/>
                <w:highlight w:val="none"/>
              </w:rPr>
            </w:pPr>
            <w:r>
              <w:rPr>
                <w:rFonts w:hint="eastAsia" w:ascii="宋体" w:hAnsi="宋体" w:eastAsia="宋体" w:cs="宋体"/>
                <w:b/>
                <w:color w:val="auto"/>
                <w:sz w:val="24"/>
                <w:szCs w:val="20"/>
                <w:highlight w:val="none"/>
              </w:rPr>
              <w:t>注：1</w:t>
            </w:r>
            <w:r>
              <w:rPr>
                <w:rFonts w:hint="eastAsia" w:ascii="宋体" w:hAnsi="宋体" w:cs="宋体"/>
                <w:b/>
                <w:color w:val="auto"/>
                <w:sz w:val="24"/>
                <w:szCs w:val="20"/>
                <w:highlight w:val="none"/>
                <w:lang w:eastAsia="zh-CN"/>
              </w:rPr>
              <w:t>）</w:t>
            </w:r>
            <w:r>
              <w:rPr>
                <w:rFonts w:hint="eastAsia" w:cs="宋体"/>
                <w:b/>
                <w:bCs/>
                <w:color w:val="auto"/>
                <w:sz w:val="24"/>
                <w:szCs w:val="28"/>
                <w:highlight w:val="none"/>
                <w:lang w:eastAsia="zh-CN"/>
              </w:rPr>
              <w:t>上述资格审查资料</w:t>
            </w:r>
            <w:r>
              <w:rPr>
                <w:rFonts w:hint="eastAsia" w:cs="宋体"/>
                <w:b/>
                <w:bCs/>
                <w:color w:val="auto"/>
                <w:sz w:val="24"/>
                <w:szCs w:val="28"/>
                <w:highlight w:val="none"/>
                <w:lang w:val="en-US" w:eastAsia="zh-CN"/>
              </w:rPr>
              <w:t>彩色扫描</w:t>
            </w:r>
            <w:r>
              <w:rPr>
                <w:rFonts w:hint="eastAsia" w:cs="宋体"/>
                <w:b/>
                <w:bCs/>
                <w:color w:val="auto"/>
                <w:sz w:val="24"/>
                <w:szCs w:val="28"/>
                <w:highlight w:val="none"/>
                <w:lang w:eastAsia="zh-CN"/>
              </w:rPr>
              <w:t>件加盖公章附在投标文件中；缺少其中任何一项或经审验不合格，其投标文件将按无效标处理。</w:t>
            </w:r>
            <w:r>
              <w:rPr>
                <w:rFonts w:hint="eastAsia" w:ascii="宋体" w:hAnsi="宋体" w:eastAsia="宋体" w:cs="宋体"/>
                <w:b/>
                <w:color w:val="auto"/>
                <w:sz w:val="24"/>
                <w:szCs w:val="20"/>
                <w:highlight w:val="none"/>
              </w:rPr>
              <w:t>2</w:t>
            </w:r>
            <w:r>
              <w:rPr>
                <w:rFonts w:hint="eastAsia" w:ascii="宋体" w:hAnsi="宋体" w:cs="宋体"/>
                <w:b/>
                <w:color w:val="auto"/>
                <w:sz w:val="24"/>
                <w:szCs w:val="20"/>
                <w:highlight w:val="none"/>
                <w:lang w:eastAsia="zh-CN"/>
              </w:rPr>
              <w:t>）</w:t>
            </w:r>
            <w:r>
              <w:rPr>
                <w:rFonts w:hint="eastAsia" w:ascii="宋体" w:hAnsi="宋体" w:eastAsia="宋体" w:cs="宋体"/>
                <w:b/>
                <w:color w:val="auto"/>
                <w:sz w:val="24"/>
                <w:szCs w:val="20"/>
                <w:highlight w:val="none"/>
              </w:rPr>
              <w:t>以上证件正在办理年检或延期的，需提供年检或（延期）核准部门提供的相关证明文件。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eastAsia" w:ascii="宋体" w:hAnsi="宋体" w:eastAsia="宋体" w:cs="宋体"/>
                <w:sz w:val="24"/>
              </w:rPr>
            </w:pPr>
            <w:r>
              <w:rPr>
                <w:rFonts w:hint="eastAsia" w:ascii="宋体" w:hAnsi="宋体" w:eastAsia="宋体" w:cs="宋体"/>
                <w:sz w:val="24"/>
              </w:rPr>
              <w:t>27</w:t>
            </w:r>
          </w:p>
        </w:tc>
        <w:tc>
          <w:tcPr>
            <w:tcW w:w="92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s="宋体"/>
                <w:sz w:val="24"/>
              </w:rPr>
            </w:pPr>
            <w:r>
              <w:rPr>
                <w:rFonts w:hint="eastAsia" w:ascii="宋体" w:hAnsi="宋体" w:eastAsia="宋体" w:cs="宋体"/>
                <w:sz w:val="24"/>
              </w:rPr>
              <w:t>不管投标结果如何，供应商自行承担所有与参加投标有关的费用。供应商一旦参加本项目投标，即被认为接受了本招标文件的所有条件和规定。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tabs>
                <w:tab w:val="left" w:pos="3122"/>
              </w:tabs>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28</w:t>
            </w:r>
          </w:p>
        </w:tc>
        <w:tc>
          <w:tcPr>
            <w:tcW w:w="927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left"/>
              <w:rPr>
                <w:rFonts w:hint="eastAsia" w:ascii="宋体" w:hAnsi="宋体" w:eastAsia="宋体" w:cs="宋体"/>
                <w:sz w:val="24"/>
              </w:rPr>
            </w:pPr>
            <w:r>
              <w:rPr>
                <w:rFonts w:hint="default" w:ascii="宋体" w:hAnsi="宋体" w:eastAsia="宋体" w:cs="宋体"/>
                <w:b/>
                <w:bCs/>
                <w:w w:val="95"/>
                <w:sz w:val="24"/>
                <w:szCs w:val="24"/>
              </w:rPr>
              <w:t>本项目响应供应商之间不得存在《中华人民共和国政府采购法实施条例》第十八条禁</w:t>
            </w:r>
            <w:r>
              <w:rPr>
                <w:rFonts w:hint="default" w:ascii="宋体" w:hAnsi="宋体" w:eastAsia="宋体" w:cs="宋体"/>
                <w:b/>
                <w:bCs/>
                <w:spacing w:val="76"/>
                <w:w w:val="95"/>
                <w:sz w:val="24"/>
                <w:szCs w:val="24"/>
              </w:rPr>
              <w:t xml:space="preserve"> </w:t>
            </w:r>
            <w:r>
              <w:rPr>
                <w:rFonts w:hint="default" w:ascii="宋体" w:hAnsi="宋体" w:eastAsia="宋体" w:cs="宋体"/>
                <w:b/>
                <w:bCs/>
                <w:sz w:val="24"/>
                <w:szCs w:val="24"/>
              </w:rPr>
              <w:t>止的关系。</w:t>
            </w:r>
          </w:p>
        </w:tc>
      </w:tr>
    </w:tbl>
    <w:p>
      <w:pPr>
        <w:rPr>
          <w:rFonts w:hint="eastAsia" w:ascii="宋体" w:hAnsi="宋体" w:eastAsia="宋体" w:cs="宋体"/>
          <w:sz w:val="24"/>
          <w:szCs w:val="20"/>
        </w:rPr>
      </w:pPr>
      <w:r>
        <w:rPr>
          <w:rFonts w:hint="eastAsia" w:ascii="宋体" w:hAnsi="宋体" w:eastAsia="宋体" w:cs="宋体"/>
          <w:sz w:val="24"/>
          <w:szCs w:val="20"/>
        </w:rPr>
        <w:br w:type="page"/>
      </w:r>
    </w:p>
    <w:p>
      <w:pPr>
        <w:pStyle w:val="2"/>
        <w:rPr>
          <w:rFonts w:hint="eastAsia"/>
        </w:rPr>
      </w:pPr>
    </w:p>
    <w:p>
      <w:pPr>
        <w:keepNext/>
        <w:keepLines/>
        <w:tabs>
          <w:tab w:val="left" w:pos="1260"/>
        </w:tabs>
        <w:spacing w:line="700" w:lineRule="exact"/>
        <w:jc w:val="center"/>
        <w:outlineLvl w:val="1"/>
        <w:rPr>
          <w:rFonts w:hint="eastAsia" w:ascii="宋体" w:hAnsi="宋体" w:eastAsia="宋体" w:cs="宋体"/>
          <w:sz w:val="32"/>
          <w:szCs w:val="32"/>
        </w:rPr>
      </w:pPr>
      <w:bookmarkStart w:id="6" w:name="_Toc76741784"/>
      <w:r>
        <w:rPr>
          <w:rFonts w:hint="eastAsia" w:ascii="宋体" w:hAnsi="宋体" w:eastAsia="宋体" w:cs="宋体"/>
          <w:sz w:val="32"/>
          <w:szCs w:val="32"/>
        </w:rPr>
        <w:t>一、总 则</w:t>
      </w:r>
      <w:bookmarkEnd w:id="6"/>
    </w:p>
    <w:p>
      <w:pPr>
        <w:spacing w:line="480" w:lineRule="exact"/>
        <w:rPr>
          <w:rFonts w:hint="eastAsia" w:ascii="宋体" w:hAnsi="宋体" w:eastAsia="宋体" w:cs="宋体"/>
          <w:b/>
          <w:sz w:val="24"/>
        </w:rPr>
      </w:pPr>
      <w:r>
        <w:rPr>
          <w:rFonts w:hint="eastAsia" w:ascii="宋体" w:hAnsi="宋体" w:eastAsia="宋体" w:cs="宋体"/>
          <w:b/>
          <w:sz w:val="24"/>
        </w:rPr>
        <w:t xml:space="preserve">  1.适用法律及范围</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本次招标及由本次招标产生的合同受中华人民共和国的相关法律、法规制约和保护。本次招标仅适用于第一章《招标公告》中所叙述的项目。</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2.定义</w:t>
      </w:r>
    </w:p>
    <w:p>
      <w:pPr>
        <w:topLinePunct/>
        <w:spacing w:line="480" w:lineRule="exact"/>
        <w:ind w:firstLine="480" w:firstLineChars="200"/>
        <w:rPr>
          <w:rFonts w:hint="eastAsia" w:ascii="宋体" w:hAnsi="宋体" w:eastAsia="宋体" w:cs="宋体"/>
          <w:color w:val="FF0000"/>
          <w:sz w:val="24"/>
        </w:rPr>
      </w:pPr>
      <w:r>
        <w:rPr>
          <w:rFonts w:hint="eastAsia" w:ascii="宋体" w:hAnsi="宋体" w:eastAsia="宋体" w:cs="宋体"/>
          <w:sz w:val="24"/>
        </w:rPr>
        <w:t>2.1采购</w:t>
      </w:r>
      <w:r>
        <w:rPr>
          <w:rFonts w:hint="eastAsia" w:ascii="宋体" w:hAnsi="宋体" w:cs="宋体"/>
          <w:sz w:val="24"/>
          <w:lang w:eastAsia="zh-CN"/>
        </w:rPr>
        <w:t>人系指山东省临沂卫生学校；</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2.2招标代理机构系指</w:t>
      </w:r>
      <w:r>
        <w:rPr>
          <w:rFonts w:hint="eastAsia" w:ascii="宋体" w:hAnsi="宋体" w:cs="宋体"/>
          <w:sz w:val="24"/>
          <w:lang w:eastAsia="zh-CN"/>
        </w:rPr>
        <w:t>临沂正旭建设项目管理有限公司</w:t>
      </w:r>
      <w:r>
        <w:rPr>
          <w:rFonts w:hint="eastAsia" w:ascii="宋体" w:hAnsi="宋体" w:eastAsia="宋体" w:cs="宋体"/>
          <w:sz w:val="24"/>
        </w:rPr>
        <w:t>；</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2.3投标人系指投标招标、参加投标竞争的法人（银行、保险、石油石化、电力、电信等行业除外）、其他组织或自然人；</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2.4评标委员会系指由采购单位依法负责组织，由采购人和有关专家组成以确定中标人的临时组织</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2.5中标人系指由评标委员会评审确定的对招标文件做出实质性投标较强，综合竞争实力最优，取得与采购人签订合同资格的供应商。</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2.6本招标文件中的 “甲方”系指本项目的采购人，“乙方”系指本项目的中标人。</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2.7原件系指最初产生的区别于复制件的原始文件或文件的原本。</w:t>
      </w:r>
    </w:p>
    <w:p>
      <w:pPr>
        <w:topLinePunct/>
        <w:spacing w:line="480" w:lineRule="exact"/>
        <w:ind w:firstLine="482" w:firstLineChars="200"/>
        <w:rPr>
          <w:rFonts w:hint="eastAsia" w:ascii="宋体" w:hAnsi="宋体" w:eastAsia="宋体" w:cs="宋体"/>
          <w:kern w:val="0"/>
          <w:sz w:val="24"/>
        </w:rPr>
      </w:pPr>
      <w:r>
        <w:rPr>
          <w:rFonts w:hint="eastAsia" w:ascii="宋体" w:hAnsi="宋体" w:eastAsia="宋体" w:cs="宋体"/>
          <w:b/>
          <w:bCs/>
          <w:kern w:val="0"/>
          <w:sz w:val="24"/>
        </w:rPr>
        <w:t>3.使用文字种类、计量单位及货币种类</w:t>
      </w:r>
    </w:p>
    <w:p>
      <w:pPr>
        <w:topLinePunct/>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3.1招标文件、投标文件、招标代理机构与供应商之间有关招标投标所有书面形式（包括书面文字、电传、传真、电报，下同）的来往函件、记录等均应使用简体中文。</w:t>
      </w:r>
    </w:p>
    <w:p>
      <w:pPr>
        <w:topLinePunct/>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3.2除招标文件中另有规定外，投标文件所使用的计量单位，均须采用中华人民共和国法定计量单位。</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3.3招标文件及投标文件中有关货币的数额表示全部以人民币计算。</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4.投标费用</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投标单位应自行承担所有与参加投标有关的费用。不论投标的结果如何，采购单位、采购代理单位在任何情况下均无义务和责任承担这些费用。</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5.合格的供应商</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5.1本次招标不接受供应商以联合体形式投标且只能投报一个方案。</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5.2供应商必须满足本招标文件第一章《招标公告》中的相关要求。</w:t>
      </w:r>
    </w:p>
    <w:p>
      <w:pPr>
        <w:topLinePunct/>
        <w:spacing w:line="480" w:lineRule="exact"/>
        <w:ind w:firstLine="480" w:firstLineChars="200"/>
        <w:rPr>
          <w:rFonts w:hint="eastAsia" w:ascii="宋体" w:hAnsi="宋体" w:eastAsia="宋体" w:cs="宋体"/>
          <w:sz w:val="24"/>
          <w:szCs w:val="20"/>
        </w:rPr>
      </w:pPr>
      <w:r>
        <w:rPr>
          <w:rFonts w:hint="eastAsia" w:ascii="宋体" w:hAnsi="宋体" w:eastAsia="宋体" w:cs="宋体"/>
          <w:sz w:val="24"/>
        </w:rPr>
        <w:t>5.3</w:t>
      </w:r>
      <w:r>
        <w:rPr>
          <w:rFonts w:hint="eastAsia" w:ascii="宋体" w:hAnsi="宋体" w:eastAsia="宋体" w:cs="宋体"/>
          <w:sz w:val="24"/>
          <w:szCs w:val="20"/>
        </w:rPr>
        <w:t>供应商在临沂市公共资源交易平台内针对本项目报名并下载了</w:t>
      </w:r>
      <w:r>
        <w:rPr>
          <w:rFonts w:hint="eastAsia" w:ascii="宋体" w:hAnsi="宋体" w:eastAsia="宋体" w:cs="宋体"/>
          <w:kern w:val="0"/>
          <w:sz w:val="24"/>
          <w:szCs w:val="20"/>
        </w:rPr>
        <w:t>电子采购文件</w:t>
      </w:r>
      <w:r>
        <w:rPr>
          <w:rFonts w:hint="eastAsia" w:ascii="宋体" w:hAnsi="宋体" w:eastAsia="宋体" w:cs="宋体"/>
          <w:sz w:val="24"/>
          <w:szCs w:val="20"/>
        </w:rPr>
        <w:t>（文件格式为.</w:t>
      </w:r>
      <w:r>
        <w:rPr>
          <w:rFonts w:hint="eastAsia" w:ascii="宋体" w:hAnsi="宋体" w:eastAsia="宋体" w:cs="宋体"/>
          <w:color w:val="000000"/>
          <w:sz w:val="24"/>
          <w:szCs w:val="20"/>
        </w:rPr>
        <w:t xml:space="preserve"> LYTF</w:t>
      </w:r>
      <w:r>
        <w:rPr>
          <w:rFonts w:hint="eastAsia" w:ascii="宋体" w:hAnsi="宋体" w:eastAsia="宋体" w:cs="宋体"/>
          <w:sz w:val="24"/>
          <w:szCs w:val="20"/>
        </w:rPr>
        <w:t>）。</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5.4在以往的政府采购活动中没有违纪、违规、违约等不良行为。</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5.5供应商必须遵守国家、山东省、临沂市有关的法律、法规和政策。</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5.6招标文件的其它规定和要求。</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5.7合格的供应商将具有参加被评审的资格。</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6.投标有效期</w:t>
      </w:r>
    </w:p>
    <w:p>
      <w:pPr>
        <w:topLinePunct/>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6.1投标文件的有效期为自投标截止时间起90日历天。在此期间，凡符合本招标文件要求的投标文件均保持有效；供应商的投标文件将受招标文件约束，如供应商被授予合同，供应商不得拒绝。</w:t>
      </w:r>
    </w:p>
    <w:p>
      <w:pPr>
        <w:topLinePunct/>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6.2原定投标有效期终止之前，若出现特殊情况，招标代理机构可以书面形式向供应商提出延长投标有效期的要求。</w:t>
      </w:r>
    </w:p>
    <w:p>
      <w:pPr>
        <w:topLinePunct/>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6.3供应商须以书面形式答复是否接受延长投标有效期的要求。</w:t>
      </w:r>
    </w:p>
    <w:p>
      <w:pPr>
        <w:topLinePunct/>
        <w:spacing w:line="480" w:lineRule="exact"/>
        <w:ind w:firstLine="480" w:firstLineChars="200"/>
        <w:rPr>
          <w:rFonts w:hint="eastAsia" w:ascii="宋体" w:hAnsi="宋体" w:eastAsia="宋体" w:cs="宋体"/>
          <w:kern w:val="0"/>
          <w:sz w:val="24"/>
        </w:rPr>
      </w:pPr>
      <w:r>
        <w:rPr>
          <w:rFonts w:hint="eastAsia" w:ascii="宋体" w:hAnsi="宋体" w:eastAsia="宋体" w:cs="宋体"/>
          <w:kern w:val="0"/>
          <w:sz w:val="24"/>
        </w:rPr>
        <w:t>6.4供应商可以拒绝这种要求。接受延长投标有效期的供应商不允许修改其投标文件。</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7.投标保证金</w:t>
      </w:r>
    </w:p>
    <w:p>
      <w:pPr>
        <w:topLinePunct/>
        <w:spacing w:line="480" w:lineRule="exact"/>
        <w:ind w:firstLine="482" w:firstLineChars="200"/>
        <w:rPr>
          <w:rFonts w:hint="eastAsia" w:ascii="宋体" w:hAnsi="宋体" w:eastAsia="宋体" w:cs="宋体"/>
          <w:b/>
          <w:bCs/>
          <w:kern w:val="0"/>
          <w:sz w:val="24"/>
          <w:szCs w:val="20"/>
        </w:rPr>
      </w:pPr>
      <w:r>
        <w:rPr>
          <w:rFonts w:hint="eastAsia" w:ascii="宋体" w:hAnsi="宋体" w:eastAsia="宋体" w:cs="宋体"/>
          <w:b/>
          <w:bCs/>
          <w:kern w:val="0"/>
          <w:sz w:val="24"/>
          <w:szCs w:val="20"/>
        </w:rPr>
        <w:t>本项目执行鲁财采〔2019〕040号文件要求执行。</w:t>
      </w:r>
    </w:p>
    <w:p>
      <w:pPr>
        <w:topLinePunct/>
        <w:spacing w:line="48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8.基础资料提供</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8.1供应商确认招标代理机构提供的基础资料</w:t>
      </w:r>
      <w:r>
        <w:rPr>
          <w:rFonts w:hint="eastAsia" w:ascii="宋体" w:hAnsi="宋体" w:eastAsia="宋体" w:cs="宋体"/>
          <w:kern w:val="0"/>
          <w:sz w:val="24"/>
        </w:rPr>
        <w:t>（包括招标文件、清单、补充说明等所有招标文件组成部分）</w:t>
      </w:r>
      <w:r>
        <w:rPr>
          <w:rFonts w:hint="eastAsia" w:ascii="宋体" w:hAnsi="宋体" w:eastAsia="宋体" w:cs="宋体"/>
          <w:sz w:val="24"/>
        </w:rPr>
        <w:t>存在的</w:t>
      </w:r>
      <w:r>
        <w:rPr>
          <w:rFonts w:hint="eastAsia" w:ascii="宋体" w:hAnsi="宋体" w:eastAsia="宋体" w:cs="宋体"/>
          <w:kern w:val="0"/>
          <w:sz w:val="24"/>
        </w:rPr>
        <w:t>异议或者偏差或者</w:t>
      </w:r>
      <w:r>
        <w:rPr>
          <w:rFonts w:hint="eastAsia" w:ascii="宋体" w:hAnsi="宋体" w:eastAsia="宋体" w:cs="宋体"/>
          <w:sz w:val="24"/>
        </w:rPr>
        <w:t>缺项漏项，应于质疑有效期前，以书面形式向招标代理机构提出。供应商未在规定的时间内对招标代理机构提供的基础资料提出异议，视为供应商已认可招标代理机构提供的资料包含了本项目所需的基础资料全部内容，</w:t>
      </w:r>
      <w:r>
        <w:rPr>
          <w:rFonts w:hint="eastAsia" w:ascii="宋体" w:hAnsi="宋体" w:eastAsia="宋体" w:cs="宋体"/>
          <w:kern w:val="0"/>
          <w:sz w:val="24"/>
        </w:rPr>
        <w:t>过时不再予以供应商处理解释</w:t>
      </w:r>
      <w:r>
        <w:rPr>
          <w:rFonts w:hint="eastAsia" w:ascii="宋体" w:hAnsi="宋体" w:eastAsia="宋体" w:cs="宋体"/>
          <w:sz w:val="24"/>
        </w:rPr>
        <w:t>。</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8.2如潜在供应商认为招标文件存在倾向性、排斥性等条款的，</w:t>
      </w:r>
      <w:r>
        <w:rPr>
          <w:rFonts w:hint="eastAsia" w:ascii="宋体" w:hAnsi="宋体" w:eastAsia="宋体" w:cs="宋体"/>
          <w:sz w:val="24"/>
          <w:lang w:eastAsia="zh-CN"/>
        </w:rPr>
        <w:t>请在招标文件要求提交投标文件截止时间 15 日前以书面形式向采购代理机构提出</w:t>
      </w:r>
      <w:r>
        <w:rPr>
          <w:rFonts w:hint="eastAsia" w:ascii="宋体" w:hAnsi="宋体" w:eastAsia="宋体" w:cs="宋体"/>
          <w:sz w:val="24"/>
        </w:rPr>
        <w:t>，采购人及时给予答复。招标文件如有实质性变动的，采购人可视具体情况延长投标截至时间和开标时间，并在规定的开标截至时间</w:t>
      </w:r>
      <w:r>
        <w:rPr>
          <w:rFonts w:hint="eastAsia" w:ascii="宋体" w:hAnsi="宋体" w:cs="宋体"/>
          <w:sz w:val="24"/>
          <w:lang w:val="en-US" w:eastAsia="zh-CN"/>
        </w:rPr>
        <w:t>3</w:t>
      </w:r>
      <w:r>
        <w:rPr>
          <w:rFonts w:hint="eastAsia" w:ascii="宋体" w:hAnsi="宋体" w:eastAsia="宋体" w:cs="宋体"/>
          <w:sz w:val="24"/>
        </w:rPr>
        <w:t>日前，将变更时间书面通知所有招标文件的收受人。未在要求的时限内提出，则视为招标文件不存在影响竞争的不当条款（若在中国山东政府采购网、</w:t>
      </w:r>
      <w:r>
        <w:rPr>
          <w:rFonts w:hint="eastAsia" w:ascii="宋体" w:hAnsi="宋体" w:eastAsia="宋体" w:cs="宋体"/>
          <w:kern w:val="0"/>
          <w:sz w:val="24"/>
          <w:szCs w:val="20"/>
        </w:rPr>
        <w:t>临沂市公共资源交易网</w:t>
      </w:r>
      <w:r>
        <w:rPr>
          <w:rFonts w:hint="eastAsia" w:ascii="宋体" w:hAnsi="宋体" w:eastAsia="宋体" w:cs="宋体"/>
          <w:sz w:val="24"/>
        </w:rPr>
        <w:t>上发出通知，则视为所有供应商都已收到招标文件的澄清、修改、补充等内容）。</w:t>
      </w:r>
    </w:p>
    <w:p>
      <w:pPr>
        <w:topLinePunct/>
        <w:spacing w:line="480" w:lineRule="exact"/>
        <w:ind w:firstLine="480" w:firstLineChars="200"/>
        <w:rPr>
          <w:rFonts w:hint="eastAsia" w:ascii="宋体" w:hAnsi="宋体" w:eastAsia="宋体" w:cs="宋体"/>
          <w:sz w:val="24"/>
        </w:rPr>
      </w:pPr>
    </w:p>
    <w:p>
      <w:pPr>
        <w:keepNext/>
        <w:keepLines/>
        <w:tabs>
          <w:tab w:val="left" w:pos="1260"/>
        </w:tabs>
        <w:spacing w:line="700" w:lineRule="exact"/>
        <w:jc w:val="center"/>
        <w:outlineLvl w:val="1"/>
        <w:rPr>
          <w:rFonts w:hint="eastAsia" w:ascii="宋体" w:hAnsi="宋体" w:eastAsia="宋体" w:cs="宋体"/>
          <w:sz w:val="32"/>
          <w:szCs w:val="32"/>
        </w:rPr>
      </w:pPr>
      <w:bookmarkStart w:id="7" w:name="_Toc76741785"/>
      <w:r>
        <w:rPr>
          <w:rFonts w:hint="eastAsia" w:ascii="宋体" w:hAnsi="宋体" w:eastAsia="宋体" w:cs="宋体"/>
          <w:sz w:val="32"/>
          <w:szCs w:val="32"/>
        </w:rPr>
        <w:t>二、招标文件</w:t>
      </w:r>
      <w:bookmarkEnd w:id="7"/>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9.招标文件的组成</w:t>
      </w:r>
    </w:p>
    <w:p>
      <w:pPr>
        <w:topLinePunct/>
        <w:spacing w:line="480" w:lineRule="exact"/>
        <w:ind w:left="480"/>
        <w:rPr>
          <w:rFonts w:hint="eastAsia" w:ascii="宋体" w:hAnsi="宋体" w:eastAsia="宋体" w:cs="宋体"/>
          <w:sz w:val="24"/>
        </w:rPr>
      </w:pPr>
      <w:r>
        <w:rPr>
          <w:rFonts w:hint="eastAsia" w:ascii="宋体" w:hAnsi="宋体" w:eastAsia="宋体" w:cs="宋体"/>
          <w:sz w:val="24"/>
        </w:rPr>
        <w:t>9.1供应商应仔细检查招标文件是否齐全，如有缺漏，请立即与招标代理机构联系解决。招标文件包括下列内容：</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第一章  招标公告</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第二章  供应商须知</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第三章  项目说明及要求</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第四章  合同范本</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第五章  附件</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9.2除本须知第9.1）款内容外，招标代理机构在投标截止时间前，以书面形式或在</w:t>
      </w:r>
      <w:r>
        <w:rPr>
          <w:rFonts w:hint="eastAsia" w:ascii="宋体" w:hAnsi="宋体" w:eastAsia="宋体" w:cs="宋体"/>
          <w:sz w:val="24"/>
          <w:szCs w:val="20"/>
        </w:rPr>
        <w:t>中国山东政府采购网http://www.ccgp-shandong.gov.cn、临沂市公共资源交易网http://ggzyjy.linyi.gov.cn</w:t>
      </w:r>
      <w:r>
        <w:rPr>
          <w:rFonts w:hint="eastAsia" w:ascii="宋体" w:hAnsi="宋体" w:eastAsia="宋体" w:cs="宋体"/>
          <w:sz w:val="24"/>
        </w:rPr>
        <w:t>上发出的对招标文件的澄清、修改、补充或变更内容，均为招标文件的组成部分，对供应商起约束作用。</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9.3供应商获取招标文件后，应认真阅读招标文件中所有的事项、格式、条款和规范等要求。如果供应商没有按照招标文件要求和规定编制投标文件及提交全部资料，或者投标文件没有对招标文件在各方面都做出实质性投标，其风险应由供应商承担；并根据有关条款规定，其投标有可能被拒绝。</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10.招标文件的澄清、修改</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10.1供应商若对招标文件有任何疑问，</w:t>
      </w:r>
      <w:r>
        <w:rPr>
          <w:rFonts w:hint="eastAsia" w:ascii="宋体" w:hAnsi="宋体" w:eastAsia="宋体" w:cs="宋体"/>
          <w:sz w:val="24"/>
          <w:szCs w:val="20"/>
        </w:rPr>
        <w:t>投标截止日期15日前（不影响投标文件编制的除外），</w:t>
      </w:r>
      <w:r>
        <w:rPr>
          <w:rFonts w:hint="eastAsia" w:ascii="宋体" w:hAnsi="宋体" w:eastAsia="宋体" w:cs="宋体"/>
          <w:color w:val="000000"/>
          <w:sz w:val="24"/>
        </w:rPr>
        <w:t>以书面形式（加盖供应商单位公章，否则不予答复）向招标代理机构提出澄清要求；若没有，视为供应商对招标文件无任何异议。招标代理机构对截止时间</w:t>
      </w:r>
      <w:r>
        <w:rPr>
          <w:rFonts w:hint="eastAsia" w:ascii="宋体" w:hAnsi="宋体" w:eastAsia="宋体" w:cs="宋体"/>
          <w:color w:val="000000"/>
          <w:sz w:val="24"/>
          <w:lang w:eastAsia="zh-CN"/>
        </w:rPr>
        <w:t xml:space="preserve"> 15日</w:t>
      </w:r>
      <w:r>
        <w:rPr>
          <w:rFonts w:hint="eastAsia" w:ascii="宋体" w:hAnsi="宋体" w:eastAsia="宋体" w:cs="宋体"/>
          <w:color w:val="000000"/>
          <w:sz w:val="24"/>
        </w:rPr>
        <w:t>前收到的任何澄清要求将以书面形式予以答复，答复中包括所问问题，但不包括问题的来源。</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10.2在投标截止时间前，无论出于何种原因，招标代理机构均可主动地或在解答供应商提出的澄清问题时对招标文件进行修改。</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10.3招标文件的修改将以书面形式或在中国山东政府采购网、</w:t>
      </w:r>
      <w:r>
        <w:rPr>
          <w:rFonts w:hint="eastAsia" w:ascii="宋体" w:hAnsi="宋体" w:eastAsia="宋体" w:cs="宋体"/>
          <w:sz w:val="24"/>
          <w:szCs w:val="20"/>
        </w:rPr>
        <w:t>临沂市公共资源交易网上</w:t>
      </w:r>
      <w:r>
        <w:rPr>
          <w:rFonts w:hint="eastAsia" w:ascii="宋体" w:hAnsi="宋体" w:eastAsia="宋体" w:cs="宋体"/>
          <w:color w:val="000000"/>
          <w:sz w:val="24"/>
        </w:rPr>
        <w:t>通知所有购买同一招标文件的供应商，并对其具有约束力。供应商应在收到该修改文件后1日内以书面形式回复招标代理机构，确认已收到该修改文件。</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10.4</w:t>
      </w:r>
      <w:r>
        <w:rPr>
          <w:rFonts w:hint="eastAsia" w:ascii="宋体" w:hAnsi="宋体" w:eastAsia="宋体" w:cs="宋体"/>
          <w:color w:val="000000"/>
          <w:spacing w:val="-14"/>
          <w:sz w:val="24"/>
        </w:rPr>
        <w:t>招标文件的澄清、修改、补充等内容均以书面形式或在</w:t>
      </w:r>
      <w:r>
        <w:rPr>
          <w:rFonts w:hint="eastAsia" w:ascii="宋体" w:hAnsi="宋体" w:eastAsia="宋体" w:cs="宋体"/>
          <w:sz w:val="24"/>
        </w:rPr>
        <w:t>中国山东政府采购网、</w:t>
      </w:r>
      <w:r>
        <w:rPr>
          <w:rFonts w:hint="eastAsia" w:ascii="宋体" w:hAnsi="宋体" w:eastAsia="宋体" w:cs="宋体"/>
          <w:sz w:val="24"/>
          <w:szCs w:val="20"/>
        </w:rPr>
        <w:t>临沂市公共资源交易网</w:t>
      </w:r>
      <w:r>
        <w:rPr>
          <w:rFonts w:hint="eastAsia" w:ascii="宋体" w:hAnsi="宋体" w:eastAsia="宋体" w:cs="宋体"/>
          <w:color w:val="000000"/>
          <w:spacing w:val="-14"/>
          <w:sz w:val="24"/>
        </w:rPr>
        <w:t>上</w:t>
      </w:r>
      <w:r>
        <w:rPr>
          <w:rFonts w:hint="eastAsia" w:ascii="宋体" w:hAnsi="宋体" w:eastAsia="宋体" w:cs="宋体"/>
          <w:color w:val="000000"/>
          <w:sz w:val="24"/>
        </w:rPr>
        <w:t>通知明确的内容为准。</w:t>
      </w:r>
      <w:r>
        <w:rPr>
          <w:rFonts w:hint="eastAsia" w:ascii="宋体" w:hAnsi="宋体" w:eastAsia="宋体" w:cs="宋体"/>
          <w:color w:val="000000"/>
          <w:spacing w:val="-14"/>
          <w:sz w:val="24"/>
        </w:rPr>
        <w:t>当招标文件、招标文件的澄清、修改、补充等在同一内容的表述上不一致时，以最后发出的书面形式或在</w:t>
      </w:r>
      <w:r>
        <w:rPr>
          <w:rFonts w:hint="eastAsia" w:ascii="宋体" w:hAnsi="宋体" w:eastAsia="宋体" w:cs="宋体"/>
          <w:sz w:val="24"/>
        </w:rPr>
        <w:t>中国山东政府采购网</w:t>
      </w:r>
      <w:r>
        <w:rPr>
          <w:rFonts w:hint="eastAsia" w:ascii="宋体" w:hAnsi="宋体" w:eastAsia="宋体" w:cs="宋体"/>
          <w:color w:val="000000"/>
          <w:sz w:val="24"/>
        </w:rPr>
        <w:t>、</w:t>
      </w:r>
      <w:r>
        <w:rPr>
          <w:rFonts w:hint="eastAsia" w:ascii="宋体" w:hAnsi="宋体" w:eastAsia="宋体" w:cs="宋体"/>
          <w:sz w:val="24"/>
          <w:szCs w:val="20"/>
        </w:rPr>
        <w:t>临沂市公共资源交易网</w:t>
      </w:r>
      <w:r>
        <w:rPr>
          <w:rFonts w:hint="eastAsia" w:ascii="宋体" w:hAnsi="宋体" w:eastAsia="宋体" w:cs="宋体"/>
          <w:color w:val="000000"/>
          <w:sz w:val="24"/>
        </w:rPr>
        <w:t>上的通知为准（若在</w:t>
      </w:r>
      <w:r>
        <w:rPr>
          <w:rFonts w:hint="eastAsia" w:ascii="宋体" w:hAnsi="宋体" w:eastAsia="宋体" w:cs="宋体"/>
          <w:sz w:val="24"/>
        </w:rPr>
        <w:t>中国山东政府采购网</w:t>
      </w:r>
      <w:r>
        <w:rPr>
          <w:rFonts w:hint="eastAsia" w:ascii="宋体" w:hAnsi="宋体" w:eastAsia="宋体" w:cs="宋体"/>
          <w:color w:val="000000"/>
          <w:sz w:val="24"/>
        </w:rPr>
        <w:t>、</w:t>
      </w:r>
      <w:r>
        <w:rPr>
          <w:rFonts w:hint="eastAsia" w:ascii="宋体" w:hAnsi="宋体" w:eastAsia="宋体" w:cs="宋体"/>
          <w:sz w:val="24"/>
          <w:szCs w:val="20"/>
        </w:rPr>
        <w:t>临沂市公共资源交易网</w:t>
      </w:r>
      <w:r>
        <w:rPr>
          <w:rFonts w:hint="eastAsia" w:ascii="宋体" w:hAnsi="宋体" w:eastAsia="宋体" w:cs="宋体"/>
          <w:color w:val="000000"/>
          <w:sz w:val="24"/>
        </w:rPr>
        <w:t>上发出通知，则视为所有供应商都已收到招标文件的澄清、修改、补充等内容）。</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10.5为使供应商编写投标文件时有充分的时间对招标文件的澄清、修改、补充等内容进行研究，招标代理机构有权推迟投标截止时间和开标时间，并将此变更书面或在</w:t>
      </w:r>
      <w:r>
        <w:rPr>
          <w:rFonts w:hint="eastAsia" w:ascii="宋体" w:hAnsi="宋体" w:eastAsia="宋体" w:cs="宋体"/>
          <w:sz w:val="24"/>
        </w:rPr>
        <w:t>中国山东政府采购网、</w:t>
      </w:r>
      <w:r>
        <w:rPr>
          <w:rFonts w:hint="eastAsia" w:ascii="宋体" w:hAnsi="宋体" w:eastAsia="宋体" w:cs="宋体"/>
          <w:sz w:val="24"/>
          <w:szCs w:val="20"/>
        </w:rPr>
        <w:t>临沂市公共资源交易网</w:t>
      </w:r>
      <w:r>
        <w:rPr>
          <w:rFonts w:hint="eastAsia" w:ascii="宋体" w:hAnsi="宋体" w:eastAsia="宋体" w:cs="宋体"/>
          <w:color w:val="000000"/>
          <w:sz w:val="24"/>
        </w:rPr>
        <w:t>上通知所有购买同一招标文件的供应商。</w:t>
      </w:r>
    </w:p>
    <w:p>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10.6自招标文件发布至正式开标前，供应商如对招标文件有疑问，由招标代理机构统一接收并由相关人员解答后向所有潜在供应商答复，除参加招标方组织的答疑会或勘察活动外，禁止以任何其他方式与采购人进行沟通接触，否则将被取消投标资格。</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11.解释权</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11.1本次招标的最终解释权归招标代理机构，当对一个问题有多种解释时以招标代理机构的最终书面解释为准。</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11.2招标文件未做须知明示，而又有相关法律、法规规定的，招标代理机构对此所做解释以相关的法律、法规的规定为依据。</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11.3若供应商没有按招标文件的规定提出异议，则视为供应商同意及接受本招标文件之全部内容及条款。</w:t>
      </w:r>
    </w:p>
    <w:p>
      <w:pPr>
        <w:numPr>
          <w:ilvl w:val="0"/>
          <w:numId w:val="3"/>
        </w:numPr>
        <w:spacing w:line="480" w:lineRule="exact"/>
        <w:ind w:firstLine="482" w:firstLineChars="200"/>
        <w:rPr>
          <w:rFonts w:hint="eastAsia" w:ascii="宋体" w:hAnsi="宋体" w:eastAsia="宋体" w:cs="宋体"/>
          <w:b/>
          <w:sz w:val="24"/>
        </w:rPr>
      </w:pPr>
      <w:r>
        <w:rPr>
          <w:rFonts w:hint="eastAsia" w:ascii="宋体" w:hAnsi="宋体" w:eastAsia="宋体" w:cs="宋体"/>
          <w:b/>
          <w:sz w:val="24"/>
        </w:rPr>
        <w:t>知识产权</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12.1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 </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12.2采购人享有本项目实施过程中产生的知识成果及知识产权。</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12.3供应商如欲在项目实施过程中采用自有知识成果，需在投标文件中声明，并提供相关知识产权证明文件。使用该知识成果后，供应商需提供开发接口和开发手册等技术文档，并承诺提供无限期技术支持，采购人享有永久使用权。</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 xml:space="preserve">12.4如采用供应商所不拥有的知识产权，则在投标报价中必须包括合法获取该知识产权的相关费用。 </w:t>
      </w:r>
    </w:p>
    <w:p>
      <w:pPr>
        <w:spacing w:line="480" w:lineRule="exact"/>
        <w:ind w:firstLine="482" w:firstLineChars="200"/>
        <w:rPr>
          <w:rFonts w:hint="eastAsia" w:ascii="宋体" w:hAnsi="宋体" w:eastAsia="宋体" w:cs="宋体"/>
          <w:sz w:val="24"/>
        </w:rPr>
      </w:pPr>
      <w:r>
        <w:rPr>
          <w:rFonts w:hint="eastAsia" w:ascii="宋体" w:hAnsi="宋体" w:eastAsia="宋体" w:cs="宋体"/>
          <w:b/>
          <w:sz w:val="24"/>
        </w:rPr>
        <w:t>13.</w:t>
      </w:r>
      <w:r>
        <w:rPr>
          <w:rFonts w:hint="eastAsia" w:ascii="宋体" w:hAnsi="宋体" w:eastAsia="宋体" w:cs="宋体"/>
          <w:b/>
          <w:bCs/>
          <w:sz w:val="24"/>
        </w:rPr>
        <w:t>招标文件的约束力</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供应商一旦参加本项目投标，即被认为接受了本招标文件的所有条件和规定。</w:t>
      </w:r>
    </w:p>
    <w:p>
      <w:pPr>
        <w:topLinePunct/>
        <w:spacing w:line="480" w:lineRule="exact"/>
        <w:ind w:firstLine="480" w:firstLineChars="200"/>
        <w:rPr>
          <w:rFonts w:hint="eastAsia" w:ascii="宋体" w:hAnsi="宋体" w:eastAsia="宋体" w:cs="宋体"/>
          <w:sz w:val="24"/>
        </w:rPr>
      </w:pPr>
    </w:p>
    <w:p>
      <w:pPr>
        <w:keepNext/>
        <w:keepLines/>
        <w:tabs>
          <w:tab w:val="left" w:pos="1260"/>
        </w:tabs>
        <w:spacing w:line="700" w:lineRule="exact"/>
        <w:jc w:val="center"/>
        <w:outlineLvl w:val="1"/>
        <w:rPr>
          <w:rFonts w:hint="eastAsia" w:ascii="宋体" w:hAnsi="宋体" w:eastAsia="宋体" w:cs="宋体"/>
          <w:sz w:val="32"/>
          <w:szCs w:val="32"/>
        </w:rPr>
      </w:pPr>
      <w:bookmarkStart w:id="8" w:name="_Toc76741786"/>
      <w:r>
        <w:rPr>
          <w:rFonts w:hint="eastAsia" w:ascii="宋体" w:hAnsi="宋体" w:eastAsia="宋体" w:cs="宋体"/>
          <w:sz w:val="32"/>
          <w:szCs w:val="32"/>
        </w:rPr>
        <w:t>三、投标文件的编制</w:t>
      </w:r>
      <w:bookmarkEnd w:id="8"/>
    </w:p>
    <w:p>
      <w:pPr>
        <w:topLinePunct/>
        <w:spacing w:line="480" w:lineRule="exact"/>
        <w:ind w:firstLine="482" w:firstLineChars="200"/>
        <w:rPr>
          <w:rFonts w:hint="eastAsia" w:ascii="宋体" w:hAnsi="宋体" w:eastAsia="宋体" w:cs="宋体"/>
          <w:b/>
          <w:sz w:val="24"/>
        </w:rPr>
      </w:pPr>
      <w:bookmarkStart w:id="9" w:name="_Toc436577522"/>
      <w:bookmarkStart w:id="10" w:name="_Toc290391863"/>
      <w:bookmarkStart w:id="11" w:name="_Toc198611788"/>
      <w:r>
        <w:rPr>
          <w:rFonts w:hint="eastAsia" w:ascii="宋体" w:hAnsi="宋体" w:eastAsia="宋体" w:cs="宋体"/>
          <w:b/>
          <w:sz w:val="24"/>
        </w:rPr>
        <w:t>14.投标文件的组成</w:t>
      </w:r>
    </w:p>
    <w:p>
      <w:pPr>
        <w:topLinePunct/>
        <w:spacing w:line="480" w:lineRule="exact"/>
        <w:ind w:firstLine="480"/>
        <w:rPr>
          <w:rFonts w:hint="eastAsia" w:ascii="宋体" w:hAnsi="宋体" w:eastAsia="宋体" w:cs="宋体"/>
          <w:sz w:val="24"/>
        </w:rPr>
      </w:pPr>
      <w:r>
        <w:rPr>
          <w:rFonts w:hint="eastAsia" w:ascii="宋体" w:hAnsi="宋体" w:eastAsia="宋体" w:cs="宋体"/>
          <w:sz w:val="24"/>
        </w:rPr>
        <w:t>14.1供应商编制的投标文件必须符合有关法律、法规的要求。供应商应仔细阅读招标文件的所有内容，按招标文件的要求提供投标文件，并保证所提供的全部资料的真实性、准确性及完整性，以使其投标对招标文件做出实质性投标。如供应商未能按招标文件要求提交全部资料，或没有按照招标文件要求做出实质性投标，评审小组有权取消其中标资格。</w:t>
      </w:r>
    </w:p>
    <w:p>
      <w:pPr>
        <w:spacing w:line="480" w:lineRule="exact"/>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供应商编制的投标文件必须符合有关法律、法规的要求，除纸质文件外，供应商还应使用CA锁进行电子响应文件制作加解密、电子签章等，并于投标截止时间之前将加密版电子投标文件（格式为.LYTF）上传至电子招投标交易平台。</w:t>
      </w:r>
    </w:p>
    <w:bookmarkEnd w:id="9"/>
    <w:bookmarkEnd w:id="10"/>
    <w:bookmarkEnd w:id="11"/>
    <w:p>
      <w:pPr>
        <w:topLinePunct/>
        <w:adjustRightInd w:val="0"/>
        <w:snapToGrid w:val="0"/>
        <w:spacing w:line="480" w:lineRule="exact"/>
        <w:ind w:firstLine="480" w:firstLineChars="200"/>
        <w:rPr>
          <w:rFonts w:hint="eastAsia" w:ascii="宋体" w:hAnsi="宋体" w:eastAsia="宋体" w:cs="宋体"/>
          <w:b/>
          <w:sz w:val="24"/>
          <w:u w:val="single"/>
        </w:rPr>
      </w:pPr>
      <w:bookmarkStart w:id="12" w:name="_Toc436577523"/>
      <w:bookmarkStart w:id="13" w:name="_Toc436576760"/>
      <w:bookmarkStart w:id="14" w:name="_Toc290391864"/>
      <w:bookmarkStart w:id="15" w:name="_Toc198611789"/>
      <w:r>
        <w:rPr>
          <w:rFonts w:hint="eastAsia" w:ascii="宋体" w:hAnsi="宋体" w:eastAsia="宋体" w:cs="宋体"/>
          <w:sz w:val="24"/>
        </w:rPr>
        <w:t>14.2投标文件由</w:t>
      </w:r>
      <w:r>
        <w:rPr>
          <w:rFonts w:hint="eastAsia" w:ascii="宋体" w:hAnsi="宋体" w:eastAsia="宋体" w:cs="宋体"/>
          <w:b/>
          <w:bCs/>
          <w:sz w:val="24"/>
        </w:rPr>
        <w:t>商务部分</w:t>
      </w:r>
      <w:r>
        <w:rPr>
          <w:rFonts w:hint="eastAsia" w:ascii="宋体" w:hAnsi="宋体" w:eastAsia="宋体" w:cs="宋体"/>
          <w:b/>
          <w:bCs/>
          <w:sz w:val="24"/>
          <w:szCs w:val="20"/>
        </w:rPr>
        <w:t>、</w:t>
      </w:r>
      <w:r>
        <w:rPr>
          <w:rFonts w:hint="eastAsia" w:ascii="宋体" w:hAnsi="宋体" w:eastAsia="宋体" w:cs="宋体"/>
          <w:b/>
          <w:bCs/>
          <w:sz w:val="24"/>
        </w:rPr>
        <w:t>技术部分共两部分</w:t>
      </w:r>
      <w:r>
        <w:rPr>
          <w:rFonts w:hint="eastAsia" w:ascii="宋体" w:hAnsi="宋体" w:eastAsia="宋体" w:cs="宋体"/>
          <w:sz w:val="24"/>
        </w:rPr>
        <w:t>组成（包括并不限于以下内容）。</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商务部分主要内容</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 xml:space="preserve">投标函； </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法定代表人身份证明或附有法定代表人身份证明的授权委托书；</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公开报价一览表；</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工程量清单报价表</w:t>
      </w:r>
      <w:r>
        <w:rPr>
          <w:rFonts w:hint="eastAsia" w:ascii="宋体" w:hAnsi="宋体" w:cs="宋体"/>
          <w:bCs/>
          <w:sz w:val="24"/>
          <w:lang w:eastAsia="zh-CN"/>
        </w:rPr>
        <w:t>；</w:t>
      </w:r>
      <w:r>
        <w:rPr>
          <w:rFonts w:hint="eastAsia" w:ascii="宋体" w:hAnsi="宋体" w:eastAsia="宋体" w:cs="宋体"/>
          <w:bCs/>
          <w:sz w:val="24"/>
        </w:rPr>
        <w:t xml:space="preserve"> </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color w:val="auto"/>
          <w:sz w:val="24"/>
          <w:szCs w:val="24"/>
          <w:lang w:eastAsia="zh-CN"/>
        </w:rPr>
        <w:t>节能、环保；小微、监狱、残疾人企业声明函及报价明细表（若有）</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投标人基本情况表；</w:t>
      </w:r>
    </w:p>
    <w:p>
      <w:pPr>
        <w:numPr>
          <w:ilvl w:val="0"/>
          <w:numId w:val="4"/>
        </w:numPr>
        <w:spacing w:line="480" w:lineRule="exact"/>
        <w:ind w:left="780" w:leftChars="200" w:hanging="360" w:hangingChars="150"/>
        <w:rPr>
          <w:rFonts w:hint="eastAsia" w:ascii="宋体" w:hAnsi="宋体" w:eastAsia="宋体" w:cs="宋体"/>
          <w:bCs/>
          <w:sz w:val="24"/>
        </w:rPr>
      </w:pPr>
      <w:r>
        <w:rPr>
          <w:rFonts w:ascii="宋体" w:hAnsi="宋体" w:eastAsia="宋体" w:cs="宋体"/>
          <w:color w:val="auto"/>
          <w:sz w:val="24"/>
          <w:szCs w:val="24"/>
          <w:lang w:eastAsia="zh-CN"/>
        </w:rPr>
        <w:t>商务条款偏离表</w:t>
      </w:r>
      <w:r>
        <w:rPr>
          <w:rFonts w:hint="eastAsia" w:ascii="宋体" w:hAnsi="宋体" w:cs="宋体"/>
          <w:color w:val="auto"/>
          <w:sz w:val="24"/>
          <w:szCs w:val="24"/>
          <w:lang w:eastAsia="zh-CN"/>
        </w:rPr>
        <w:t>；</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 xml:space="preserve">拟投入本工程的主要施工管理人员一览表； </w:t>
      </w:r>
    </w:p>
    <w:p>
      <w:pPr>
        <w:numPr>
          <w:ilvl w:val="0"/>
          <w:numId w:val="4"/>
        </w:numPr>
        <w:spacing w:line="480" w:lineRule="exact"/>
        <w:ind w:left="780" w:leftChars="200" w:hanging="360" w:hangingChars="150"/>
        <w:rPr>
          <w:rFonts w:hint="eastAsia" w:ascii="宋体" w:hAnsi="宋体" w:eastAsia="宋体" w:cs="宋体"/>
          <w:bCs/>
          <w:sz w:val="24"/>
        </w:rPr>
      </w:pPr>
      <w:r>
        <w:rPr>
          <w:rFonts w:hint="eastAsia" w:ascii="宋体" w:hAnsi="宋体" w:eastAsia="宋体" w:cs="宋体"/>
          <w:bCs/>
          <w:sz w:val="24"/>
        </w:rPr>
        <w:t xml:space="preserve">拟投入本工程项目经理简历表； </w:t>
      </w:r>
    </w:p>
    <w:p>
      <w:pPr>
        <w:numPr>
          <w:ilvl w:val="0"/>
          <w:numId w:val="4"/>
        </w:numPr>
        <w:spacing w:line="480" w:lineRule="exact"/>
        <w:ind w:left="781" w:leftChars="200" w:hanging="361" w:hangingChars="150"/>
        <w:rPr>
          <w:rFonts w:hint="eastAsia" w:ascii="宋体" w:hAnsi="宋体" w:eastAsia="宋体" w:cs="宋体"/>
          <w:b/>
          <w:sz w:val="24"/>
          <w:highlight w:val="none"/>
        </w:rPr>
      </w:pPr>
      <w:r>
        <w:rPr>
          <w:rFonts w:hint="eastAsia" w:ascii="宋体" w:hAnsi="宋体" w:eastAsia="宋体" w:cs="宋体"/>
          <w:b/>
          <w:sz w:val="24"/>
          <w:highlight w:val="none"/>
        </w:rPr>
        <w:t>资格审查资料</w:t>
      </w:r>
      <w:r>
        <w:rPr>
          <w:rFonts w:hint="eastAsia" w:ascii="宋体" w:hAnsi="宋体" w:cs="宋体"/>
          <w:b/>
          <w:sz w:val="24"/>
          <w:highlight w:val="none"/>
          <w:lang w:eastAsia="zh-CN"/>
        </w:rPr>
        <w:t>：</w:t>
      </w:r>
      <w:r>
        <w:rPr>
          <w:rFonts w:hint="eastAsia" w:ascii="宋体" w:hAnsi="宋体" w:eastAsia="宋体" w:cs="宋体"/>
          <w:b/>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①</w:t>
      </w:r>
      <w:r>
        <w:rPr>
          <w:rFonts w:hint="eastAsia" w:ascii="宋体" w:hAnsi="宋体" w:cs="宋体"/>
          <w:sz w:val="24"/>
          <w:szCs w:val="20"/>
          <w:highlight w:val="none"/>
          <w:lang w:eastAsia="zh-CN"/>
        </w:rPr>
        <w:t>有效期内</w:t>
      </w:r>
      <w:r>
        <w:rPr>
          <w:rFonts w:hint="eastAsia" w:ascii="宋体" w:hAnsi="宋体" w:eastAsia="宋体" w:cs="宋体"/>
          <w:sz w:val="24"/>
          <w:szCs w:val="20"/>
          <w:highlight w:val="none"/>
        </w:rPr>
        <w:t>营业执照、税务登记证、组织机构代码证（三证合一只需提供营业执照）；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②有效期内的资质证书；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③有效期内的安全生产许可证；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④拟派项目经理提供贰级（含）及以上注册建造师执业资格证书（建筑工程专业）、有效的安全生产考核合格证书、身份证、劳动合同、无在建承诺书、2021年1月至今，带有校验码的社保缴费明细或提供人社部门签章的社保缴费明细（需明确到个人，网上可查,否则不予认可）；</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0"/>
          <w:highlight w:val="none"/>
        </w:rPr>
      </w:pPr>
      <w:r>
        <w:rPr>
          <w:rFonts w:hint="eastAsia" w:ascii="宋体" w:hAnsi="宋体" w:eastAsia="宋体" w:cs="宋体"/>
          <w:color w:val="auto"/>
          <w:sz w:val="24"/>
          <w:szCs w:val="20"/>
          <w:highlight w:val="none"/>
        </w:rPr>
        <w:t>⑤2020年度经会计师事务所或者审计机构审计的财务会计报告</w:t>
      </w:r>
      <w:r>
        <w:rPr>
          <w:rFonts w:hint="eastAsia" w:ascii="宋体" w:hAnsi="宋体"/>
          <w:color w:val="auto"/>
          <w:sz w:val="24"/>
          <w:szCs w:val="24"/>
          <w:highlight w:val="none"/>
        </w:rPr>
        <w:t>或基本开户银行出具的资信证明</w:t>
      </w:r>
      <w:r>
        <w:rPr>
          <w:rFonts w:hint="eastAsia" w:ascii="宋体" w:hAnsi="宋体" w:eastAsia="宋体" w:cs="宋体"/>
          <w:color w:val="auto"/>
          <w:sz w:val="24"/>
          <w:szCs w:val="20"/>
          <w:highlight w:val="none"/>
        </w:rPr>
        <w:t>，财</w:t>
      </w:r>
      <w:r>
        <w:rPr>
          <w:rFonts w:hint="eastAsia" w:ascii="宋体" w:hAnsi="宋体" w:eastAsia="宋体" w:cs="宋体"/>
          <w:sz w:val="24"/>
          <w:szCs w:val="20"/>
          <w:highlight w:val="none"/>
        </w:rPr>
        <w:t>务会计报告</w:t>
      </w:r>
      <w:r>
        <w:rPr>
          <w:rFonts w:hint="eastAsia" w:ascii="宋体" w:hAnsi="宋体" w:eastAsia="宋体" w:cs="宋体"/>
          <w:sz w:val="24"/>
          <w:szCs w:val="20"/>
          <w:highlight w:val="none"/>
          <w:lang w:val="en-US" w:eastAsia="zh-CN"/>
        </w:rPr>
        <w:t>应</w:t>
      </w:r>
      <w:r>
        <w:rPr>
          <w:rFonts w:hint="eastAsia" w:ascii="宋体" w:hAnsi="宋体" w:eastAsia="宋体" w:cs="宋体"/>
          <w:sz w:val="24"/>
          <w:szCs w:val="20"/>
          <w:highlight w:val="none"/>
        </w:rPr>
        <w:t>包括资产负债表、损益表、现金流量表、利润表和财务状况说明书；</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⑥未被列入“信用中国”网站失信被执行人名单、重大税收违法案件当事人名单网上截图；</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⑦提供在“中国裁判文书网”无行贿记录证明截图；</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highlight w:val="none"/>
        </w:rPr>
      </w:pPr>
      <w:r>
        <w:rPr>
          <w:rFonts w:hint="eastAsia" w:ascii="宋体" w:hAnsi="宋体" w:eastAsia="宋体" w:cs="宋体"/>
          <w:sz w:val="24"/>
          <w:szCs w:val="20"/>
          <w:highlight w:val="none"/>
        </w:rPr>
        <w:t>⑧参加政府采购活动前三年内，在经营活动中没有重大违法记录书面声明（格式见附件）。</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right="0" w:firstLine="482" w:firstLineChars="200"/>
        <w:textAlignment w:val="auto"/>
        <w:rPr>
          <w:rFonts w:hint="eastAsia"/>
          <w:sz w:val="24"/>
          <w:szCs w:val="28"/>
          <w:highlight w:val="lightGray"/>
        </w:rPr>
      </w:pPr>
      <w:r>
        <w:rPr>
          <w:rFonts w:hint="eastAsia" w:cs="宋体"/>
          <w:b/>
          <w:bCs/>
          <w:color w:val="auto"/>
          <w:sz w:val="24"/>
          <w:szCs w:val="28"/>
          <w:highlight w:val="lightGray"/>
          <w:lang w:eastAsia="zh-CN"/>
        </w:rPr>
        <w:t>注：</w:t>
      </w:r>
      <w:r>
        <w:rPr>
          <w:rFonts w:hint="eastAsia" w:ascii="宋体" w:hAnsi="宋体" w:eastAsia="宋体" w:cs="宋体"/>
          <w:b/>
          <w:sz w:val="24"/>
          <w:szCs w:val="20"/>
          <w:highlight w:val="lightGray"/>
        </w:rPr>
        <w:t>1、</w:t>
      </w:r>
      <w:r>
        <w:rPr>
          <w:rFonts w:hint="eastAsia" w:cs="宋体"/>
          <w:b/>
          <w:bCs/>
          <w:color w:val="auto"/>
          <w:sz w:val="24"/>
          <w:szCs w:val="28"/>
          <w:highlight w:val="lightGray"/>
          <w:lang w:eastAsia="zh-CN"/>
        </w:rPr>
        <w:t>上述资格审查资料</w:t>
      </w:r>
      <w:r>
        <w:rPr>
          <w:rFonts w:hint="eastAsia" w:cs="宋体"/>
          <w:b/>
          <w:bCs/>
          <w:color w:val="auto"/>
          <w:sz w:val="24"/>
          <w:szCs w:val="28"/>
          <w:highlight w:val="lightGray"/>
          <w:lang w:val="en-US" w:eastAsia="zh-CN"/>
        </w:rPr>
        <w:t>彩色扫描</w:t>
      </w:r>
      <w:r>
        <w:rPr>
          <w:rFonts w:hint="eastAsia" w:cs="宋体"/>
          <w:b/>
          <w:bCs/>
          <w:color w:val="auto"/>
          <w:sz w:val="24"/>
          <w:szCs w:val="28"/>
          <w:highlight w:val="lightGray"/>
          <w:lang w:eastAsia="zh-CN"/>
        </w:rPr>
        <w:t>件加盖公章附在投标文件中；缺少其中任何一项或经审验不合格，其投标文件将按无效标处理。</w:t>
      </w:r>
      <w:r>
        <w:rPr>
          <w:rFonts w:hint="eastAsia" w:ascii="宋体" w:hAnsi="宋体" w:eastAsia="宋体" w:cs="宋体"/>
          <w:b/>
          <w:sz w:val="24"/>
          <w:szCs w:val="20"/>
          <w:highlight w:val="lightGray"/>
        </w:rPr>
        <w:t>2、以上证件正在办理年检或延期的，需提供年检或（延期）核准部门提供的相关证明文件。</w:t>
      </w:r>
    </w:p>
    <w:p>
      <w:pPr>
        <w:numPr>
          <w:ilvl w:val="0"/>
          <w:numId w:val="4"/>
        </w:numPr>
        <w:spacing w:line="240" w:lineRule="auto"/>
        <w:ind w:left="780" w:leftChars="200" w:hanging="360" w:hangingChars="150"/>
        <w:rPr>
          <w:rFonts w:hint="eastAsia" w:ascii="宋体" w:hAnsi="宋体" w:eastAsia="宋体" w:cs="宋体"/>
          <w:b/>
          <w:sz w:val="24"/>
          <w:highlight w:val="none"/>
        </w:rPr>
      </w:pPr>
      <w:r>
        <w:rPr>
          <w:rFonts w:hint="eastAsia" w:ascii="宋体" w:hAnsi="宋体" w:eastAsia="宋体" w:cs="宋体"/>
          <w:b w:val="0"/>
          <w:bCs/>
          <w:sz w:val="24"/>
          <w:highlight w:val="none"/>
        </w:rPr>
        <w:t>临沂市政府采购供应商反商业贿</w:t>
      </w:r>
      <w:r>
        <w:rPr>
          <w:rFonts w:hint="eastAsia" w:ascii="宋体" w:hAnsi="宋体" w:eastAsia="宋体" w:cs="宋体"/>
          <w:bCs/>
          <w:sz w:val="24"/>
          <w:highlight w:val="none"/>
        </w:rPr>
        <w:t>赂承诺书</w:t>
      </w:r>
      <w:r>
        <w:rPr>
          <w:rFonts w:hint="eastAsia" w:ascii="宋体" w:hAnsi="宋体" w:cs="宋体"/>
          <w:bCs/>
          <w:sz w:val="24"/>
          <w:highlight w:val="none"/>
          <w:lang w:eastAsia="zh-CN"/>
        </w:rPr>
        <w:t>；</w:t>
      </w:r>
    </w:p>
    <w:p>
      <w:pPr>
        <w:numPr>
          <w:ilvl w:val="0"/>
          <w:numId w:val="4"/>
        </w:numPr>
        <w:spacing w:line="480" w:lineRule="exact"/>
        <w:ind w:left="780" w:leftChars="200" w:hanging="360" w:hangingChars="150"/>
        <w:rPr>
          <w:rFonts w:hint="eastAsia" w:ascii="宋体" w:hAnsi="宋体" w:eastAsia="宋体" w:cs="宋体"/>
          <w:b/>
          <w:sz w:val="24"/>
        </w:rPr>
      </w:pPr>
      <w:r>
        <w:rPr>
          <w:rFonts w:hint="eastAsia" w:ascii="宋体" w:hAnsi="宋体" w:eastAsia="宋体" w:cs="宋体"/>
          <w:color w:val="auto"/>
          <w:sz w:val="24"/>
          <w:szCs w:val="24"/>
          <w:lang w:eastAsia="zh-CN"/>
        </w:rPr>
        <w:t>投标单位对投标文件的真实性承诺</w:t>
      </w:r>
      <w:r>
        <w:rPr>
          <w:rFonts w:hint="eastAsia" w:ascii="宋体" w:hAnsi="宋体" w:cs="宋体"/>
          <w:color w:val="auto"/>
          <w:sz w:val="24"/>
          <w:szCs w:val="24"/>
          <w:lang w:eastAsia="zh-CN"/>
        </w:rPr>
        <w:t>；</w:t>
      </w:r>
    </w:p>
    <w:p>
      <w:pPr>
        <w:numPr>
          <w:ilvl w:val="0"/>
          <w:numId w:val="4"/>
        </w:numPr>
        <w:spacing w:line="480" w:lineRule="exact"/>
        <w:ind w:left="780" w:leftChars="200" w:hanging="360" w:hangingChars="150"/>
        <w:rPr>
          <w:rFonts w:hint="eastAsia" w:ascii="宋体" w:hAnsi="宋体" w:eastAsia="宋体" w:cs="宋体"/>
          <w:b/>
          <w:sz w:val="24"/>
        </w:rPr>
      </w:pPr>
      <w:r>
        <w:rPr>
          <w:rFonts w:hint="eastAsia" w:ascii="宋体" w:hAnsi="宋体" w:eastAsia="宋体" w:cs="宋体"/>
          <w:b w:val="0"/>
          <w:bCs/>
          <w:sz w:val="24"/>
          <w:lang w:eastAsia="zh-CN"/>
        </w:rPr>
        <w:t>招标文件要求提供的其它相关证明文件</w:t>
      </w:r>
      <w:r>
        <w:rPr>
          <w:rFonts w:hint="eastAsia" w:ascii="宋体" w:hAnsi="宋体" w:eastAsia="宋体" w:cs="宋体"/>
          <w:bCs/>
          <w:sz w:val="24"/>
        </w:rPr>
        <w:t xml:space="preserve">； </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技术部分主要内容</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cs="宋体"/>
          <w:bCs/>
          <w:sz w:val="24"/>
          <w:lang w:val="en-US" w:eastAsia="zh-CN"/>
        </w:rPr>
        <w:t>技术条款偏离表</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施工程序总体设想，施工阶段划分。</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施工进度计划和各阶段进度的保证措施及违约责任承诺。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劳动力和材料投入计划及其保证措施。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机械设备投入计划。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施工平面布置和临时设施布置。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关键施工技术、工艺及工程项目实施的重点、难点分析和解决方案。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安全文明</w:t>
      </w:r>
      <w:r>
        <w:rPr>
          <w:rFonts w:hint="eastAsia" w:ascii="宋体" w:hAnsi="宋体" w:eastAsia="宋体" w:cs="宋体"/>
          <w:bCs/>
          <w:sz w:val="24"/>
          <w:lang w:eastAsia="zh-CN"/>
        </w:rPr>
        <w:t>、环保（</w:t>
      </w:r>
      <w:r>
        <w:rPr>
          <w:rFonts w:hint="eastAsia" w:ascii="宋体" w:hAnsi="宋体" w:eastAsia="宋体" w:cs="宋体"/>
          <w:bCs/>
          <w:color w:val="auto"/>
          <w:sz w:val="24"/>
          <w:lang w:eastAsia="zh-CN"/>
        </w:rPr>
        <w:t>含扬尘治理）</w:t>
      </w:r>
      <w:r>
        <w:rPr>
          <w:rFonts w:hint="eastAsia" w:ascii="宋体" w:hAnsi="宋体" w:eastAsia="宋体" w:cs="宋体"/>
          <w:bCs/>
          <w:color w:val="auto"/>
          <w:sz w:val="24"/>
        </w:rPr>
        <w:t>施工措施</w:t>
      </w:r>
      <w:r>
        <w:rPr>
          <w:rFonts w:hint="eastAsia" w:ascii="宋体" w:hAnsi="宋体" w:eastAsia="宋体" w:cs="宋体"/>
          <w:bCs/>
          <w:color w:val="auto"/>
          <w:sz w:val="24"/>
          <w:lang w:eastAsia="zh-CN"/>
        </w:rPr>
        <w:t>。</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质量保证和质量违约责任承诺。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新技术应用和违约责任承诺。 </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现场用电、用水计划。</w:t>
      </w:r>
    </w:p>
    <w:p>
      <w:pPr>
        <w:numPr>
          <w:ilvl w:val="0"/>
          <w:numId w:val="5"/>
        </w:numPr>
        <w:topLinePunct/>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投标人认为需要提交的其他资料文件。</w:t>
      </w:r>
    </w:p>
    <w:p>
      <w:pPr>
        <w:topLinePunct/>
        <w:spacing w:line="500" w:lineRule="exact"/>
        <w:ind w:left="420" w:leftChars="200" w:firstLine="241" w:firstLineChars="100"/>
        <w:rPr>
          <w:rFonts w:hint="eastAsia" w:ascii="宋体" w:hAnsi="宋体" w:eastAsia="宋体" w:cs="宋体"/>
          <w:b/>
          <w:sz w:val="24"/>
        </w:rPr>
      </w:pPr>
      <w:r>
        <w:rPr>
          <w:rFonts w:hint="eastAsia" w:ascii="宋体" w:hAnsi="宋体" w:eastAsia="宋体" w:cs="宋体"/>
          <w:b/>
          <w:sz w:val="24"/>
        </w:rPr>
        <w:t>15.投标文件格式</w:t>
      </w:r>
    </w:p>
    <w:p>
      <w:pPr>
        <w:topLinePunct/>
        <w:spacing w:line="500" w:lineRule="exact"/>
        <w:ind w:firstLine="480" w:firstLineChars="200"/>
        <w:rPr>
          <w:rFonts w:hint="eastAsia" w:ascii="宋体" w:hAnsi="宋体" w:eastAsia="宋体" w:cs="宋体"/>
          <w:sz w:val="24"/>
        </w:rPr>
      </w:pPr>
      <w:r>
        <w:rPr>
          <w:rFonts w:hint="eastAsia" w:ascii="宋体" w:hAnsi="宋体" w:eastAsia="宋体" w:cs="宋体"/>
          <w:sz w:val="24"/>
        </w:rPr>
        <w:t>15.1投标文件包括本须知第14条中规定的内容，供应商提交的投标文件应当使用招标文件所提供的投标文件全部格式（可以相同格式扩展或另行编写，但不得删减内容或与本须知第14条的内容相悖）</w:t>
      </w:r>
      <w:r>
        <w:rPr>
          <w:rFonts w:hint="eastAsia" w:ascii="宋体" w:hAnsi="宋体" w:cs="宋体"/>
          <w:sz w:val="24"/>
          <w:lang w:eastAsia="zh-CN"/>
        </w:rPr>
        <w:t>，</w:t>
      </w:r>
      <w:r>
        <w:rPr>
          <w:rFonts w:hint="eastAsia" w:ascii="宋体" w:hAnsi="宋体" w:cs="宋体"/>
          <w:sz w:val="24"/>
          <w:lang w:val="en-US" w:eastAsia="zh-CN"/>
        </w:rPr>
        <w:t>未提供格式的由供应商自行拟定</w:t>
      </w:r>
      <w:r>
        <w:rPr>
          <w:rFonts w:hint="eastAsia" w:ascii="宋体" w:hAnsi="宋体" w:eastAsia="宋体" w:cs="宋体"/>
          <w:sz w:val="24"/>
        </w:rPr>
        <w:t>。</w:t>
      </w:r>
    </w:p>
    <w:p>
      <w:pPr>
        <w:topLinePunct/>
        <w:spacing w:line="500" w:lineRule="exact"/>
        <w:ind w:firstLine="480" w:firstLineChars="200"/>
        <w:rPr>
          <w:rFonts w:hint="eastAsia" w:ascii="宋体" w:hAnsi="宋体" w:eastAsia="宋体" w:cs="宋体"/>
          <w:b/>
          <w:iCs/>
          <w:sz w:val="24"/>
        </w:rPr>
      </w:pPr>
      <w:r>
        <w:rPr>
          <w:rFonts w:hint="eastAsia" w:ascii="宋体" w:hAnsi="宋体" w:eastAsia="宋体" w:cs="宋体"/>
          <w:sz w:val="24"/>
        </w:rPr>
        <w:t>15.2供应商应按照规定的格式编制、装订投标文件。投标文件页码应连续，不可插页、抽页，不可活页装订。</w:t>
      </w:r>
    </w:p>
    <w:bookmarkEnd w:id="12"/>
    <w:bookmarkEnd w:id="13"/>
    <w:bookmarkEnd w:id="14"/>
    <w:bookmarkEnd w:id="15"/>
    <w:p>
      <w:pPr>
        <w:topLinePunct/>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16.1 投标报价及依据</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16.1.1本工程的计价依据是：本工程的计价依据是：《建设工程工程量清单计价规范》（GB50500-2013）及《房屋建筑与装饰工程工程量计算规范》（GB50854-2013）、《通用安装工程工程量计算规范》（GB50856-2013）、《市政工程工程量计算规范》（GB50857-2013）、《园林绿化工程工程量计算规范》（GB50858-2013）等，定额执行鲁建标字[2016]39号规定的《山东省建筑、安装、市政、园林绿化工程消耗量定额》，价目表依据鲁建标字[2020]24号文《山东省建筑、安装、市政、园林绿化工程价目表》(2020）、《山东省人工、材料、机械台班单价表》（2020），取费依据《山东省建设工程项目组成及计算规则》（鲁建标字[2016]40号）、《临沂市住房和城乡建设局关于发布临沂市建设工程规费计取标准的通知》（临建价发[2017]3号）、《山东省住房和城乡建设厅关于调整山东省建筑和市政工程安全文明施工费费率标准的通知》（鲁建标函[2017]23号）、《山东省住房和城乡建设厅关于调整市政工程安全文明施工费中环境保护费费率标准的通知》（鲁建标字[2019]26号）、《山东省住房和城乡建设厅关于调整建设工程计价依据增值税税率的通知》（鲁建标字[2019]10号）、《临沂市住房和城乡建设局关于调整部分建设工程规费项目组成的通知》（2019年11月18日）、《山东省住房和城乡建设厅关于调整建设工程规费项目组成的通知》（鲁建标字[2019]22）号中关于环境保护税的规定、《山东省住房和城乡建设厅关于调整建设项目工伤保险费率的通知》（鲁建标字[2020]17号）及现行国家、省、市相关取费文件规定和投标企业自身管理水平。</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16.1.2投标单位应充分了解工程项目的位置、道路、装卸限制及其他足以影响报价的情况；投标人接到招标文件后，要对清单内材料进行清查，以确定材料来源；任何因疏忽或误解工程项目道路等情况而导致的索赔或工期延长申请将不被批准。</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16.1.3工程量清单中所填入的单价和合价，除非合同另外约定，工程量清单中的单价与合价均已包括了该工程量清单项目的人工费、材料费、机械费、管理费、利润以及本招标文件明示或暗示的所有风险、责任和义务等全部内容。</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16.1.4投标人的工程量清单项目的单价与清单项目数量相乘必须等于合价，各合价相加必须等于总价；投标总价应与分部分项工程费、措施项目费、其他项目费和规费、税金的合计金额一致，各部分的合计金额应与其中的各分项之和一致，不允许使用调价函件，否则按照废标处理。投标人必须提供工、料、机价格，必须提供分部分项工程量清单报价表、综合单价分析表。</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投标人应严格按照招标单位提供的工程量清单填报单价与合价，每一个项目只允许有一个单价和合价，任何有选择的单价和合价将不予接受；若投标人擅自改变清单序号、项目编码、工程量、清单项目内容特征描述或出现一个项目多个单价或合价、未填单价或合价的工程量清单项目，作废标处理。投标人不得进行投标总价优惠、让利，投标人对投标报价的任何优惠、让利均应体现在清单项目的综合单价中。</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16.1.5投标报价应包括分部分项工程量清单报价、措施费报价、其他项目清单报价、规费、税金（规费、税金不作为竞争性费用）等投标人响应招标单位要求完成拟建工程的全部费用；规费、税金必须严格按照国家和省有关规定计取，凡未按规定计取的，作废标处理。</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规费、税金现行国家、省、市规定如下：</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（1）环境保护税：建筑、安装、装饰、园林工程在工程招标投标时暂按规费前工程造价的0.3%计取，市政工程暂按规费前工程造价的0.1%计取，在竣工结算时凭出具的缴费凭据结算。</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（2）社会保险费：按规费前工程造价的1.52%计取，结算时按照最新有关规定执行。</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（3）住房公积金：按人工费总和的3.6%计取（计取基数为规费前工程造价人工费之和），在竣工结算时凭出具的缴费凭据结算。</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（4）建设项目工伤保险：按照《山东省住房和城乡建设厅关于调整建设项目工伤保险费率的通知》（鲁建标字[2020]17号）规费前工程造价的0.105%，在竣工结算时凭出具的缴费凭据结算。</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安全文明施工费：按照《山东省建设工程项目组成及计算规则》（鲁建标字[2016]40号）、《山东省住房和城乡建设厅关于调整山东省建筑和市政工程安全文明施工费费率标准的通知》（鲁建标函[2017]23号）、《山东省住房和城乡建设厅关于调整市政工程安全文明施工费中环境保护费费率标准的通知》（鲁建标字[2019]26号）、《临沂市住房和城乡建设局关于调整部分建设工程规费项目组成的通知》（2019年11月18日）执行。</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（6）税金：增值税按9%计取，结算时执行国家、省、市最新规定。</w:t>
      </w:r>
    </w:p>
    <w:p>
      <w:pPr>
        <w:topLinePunct/>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16.1.6 工地现场水、电等需求由中标单位挂表计量、缴费，水电费单价根据事业单位向有关单位缴费基数缴纳。</w:t>
      </w:r>
    </w:p>
    <w:p>
      <w:pPr>
        <w:topLinePunct/>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16.2 工程量变更价款的调整</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16.2.1由于施工图设计变更、工程量清单有误或项目特征表述与设计不符、以及其他非承包人原因导致的工程量清单项目、工程量发生变化所影响的工程价款，除合同另有约定外，应按下列方法进行调整。</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（1）分部分项工程量清单漏项或设计变更增加新的清单项目，应调增的价款。</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调增价款=Σ（漏项、新增项目工程量×核准的相应新编综合单价）</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相应新编综合单价的确定依据为：《建设工程工程量清单计价规范》（GB50500-2013）及《房屋建筑与装饰工程工程量计算规范》（GB50854-2013）、《通用安装工程工程量计算规范》（GB50856-2013）、《市政工程工程量计算规范》（GB50857-2013）、《园林绿化工程工程量计算规范》（GB50858-2013）等，定额执行鲁建标字[2016]39号规定的《山东省建筑、安装、市政、园林绿化工程消耗量定额》，价目表依据鲁建标字[2020]24号文《山东省建筑、安装、市政、园林绿化工程价目表》(2020）、《山东省人工、材料、机械台班单价表》（2020），取费依据《山东省建设工程项目组成及计算规则》（鲁建标字[2016]40号）、《临沂市住房和城乡建设局关于发布临沂市建设工程规费计取标准的通知》（临建价发[2017]3号）、《山东省住房和城乡建设厅关于调整山东省建筑和市政工程安全文明施工费费率标准的通知》（鲁建标函[2017]23号）、《山东省住房和城乡建设厅关于调整市政工程安全文明施工费中环境保护费费率标准的通知》（鲁建标字[2019]26号）、《山东省住房和城乡建设厅关于调整建设工程计价依据增值税税率的通知》（鲁建标字[2019]10号）、《临沂市住房和城乡建设局关于调整部分建设工程规费项目组成的通知》（2019年11月18日）、《山东省住房和城乡建设厅关于调整建设工程规费项目组成的通知》（鲁建标字[2019]22）号中关于环境保护税的规定、《山东省住房和城乡建设厅关于调整建设项目工伤保险费率的通知》（鲁建标字[2020]17号），人工费执行 66元/综合工日，机械台班价格执行《山东省机械台班单价表》（2020），材、机价格执行施工时的市场价，按上述标准确定的综合单价×中标总价(扣除暂列金金额)／招标控制价（扣除暂列金金额）作为最终确定的新编综合单价。</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（2）分部分项工程量清单多余项目或设计变更减少了原有分部分项工程量清单项目，应调减的价款。</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调减价款=Σ[某清单项目调减工程量（招标清单数量15%以内）×相应原综合单价]+Σ[某清单项目调减工程量（招标清单数量15%以外）</w:t>
      </w:r>
      <w:r>
        <w:rPr>
          <w:rFonts w:hint="eastAsia" w:ascii="宋体" w:hAnsi="宋体" w:cs="宋体"/>
          <w:color w:val="000000"/>
          <w:sz w:val="24"/>
          <w:highlight w:val="none"/>
        </w:rPr>
        <w:t>×协商确定的投标时市场综合单价</w:t>
      </w:r>
      <w:r>
        <w:rPr>
          <w:rFonts w:hint="eastAsia" w:ascii="宋体" w:hAnsi="宋体" w:eastAsia="宋体" w:cs="宋体"/>
          <w:b w:val="0"/>
          <w:bCs w:val="0"/>
          <w:color w:val="auto"/>
          <w:sz w:val="24"/>
          <w:highlight w:val="none"/>
        </w:rPr>
        <w:t>]</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（3）分部分项工程量清单有误而调增的工程量，或设计变更引起分部分项工程量清单工程量增加，应调增的价款。</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调增价款=Σ[某清单项目调增工程量（招标清单数量15%以内）×相应原综合单价]+Σ[某清单项目调增工程量（招标清单数量15%以外）</w:t>
      </w:r>
      <w:r>
        <w:rPr>
          <w:rFonts w:hint="eastAsia" w:ascii="宋体" w:hAnsi="宋体" w:cs="宋体"/>
          <w:color w:val="000000"/>
          <w:sz w:val="24"/>
          <w:highlight w:val="none"/>
        </w:rPr>
        <w:t>×协商确定的投标时市场综合单价</w:t>
      </w:r>
      <w:r>
        <w:rPr>
          <w:rFonts w:hint="eastAsia" w:ascii="宋体" w:hAnsi="宋体" w:eastAsia="宋体" w:cs="宋体"/>
          <w:b w:val="0"/>
          <w:bCs w:val="0"/>
          <w:color w:val="auto"/>
          <w:sz w:val="24"/>
          <w:highlight w:val="none"/>
        </w:rPr>
        <w:t>]</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（4）分部分项工程工程量清单有误而调减的工程量或设计变更引起分部分项工程量清单工程量减少，应调减的价款。</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调减价款=Σ[某清单项目调减工程量（招标清单数量15%以内）×相应原综合单价]+Σ[某清单项目调减工程量（招标清单数量15%以外）</w:t>
      </w:r>
      <w:r>
        <w:rPr>
          <w:rFonts w:hint="eastAsia" w:ascii="宋体" w:hAnsi="宋体" w:cs="宋体"/>
          <w:color w:val="000000"/>
          <w:sz w:val="24"/>
          <w:highlight w:val="none"/>
        </w:rPr>
        <w:t>×协商确定的投标时市场综合单价</w:t>
      </w:r>
      <w:r>
        <w:rPr>
          <w:rFonts w:hint="eastAsia" w:ascii="宋体" w:hAnsi="宋体" w:eastAsia="宋体" w:cs="宋体"/>
          <w:b w:val="0"/>
          <w:bCs w:val="0"/>
          <w:color w:val="auto"/>
          <w:sz w:val="24"/>
          <w:highlight w:val="none"/>
        </w:rPr>
        <w:t>]</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16.2.2工程在施工过程中确需变更时，必须由建设单位、施工单位、财政评审单位、监理单位共同签字认可，否则变更部分不予调整。 </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16.2.3对于措施费报价项目，投标人应根据招标人提供的措施项目清单和自行拟定的施工组织设计或施工方案自主确定的措施费，按照报价一次性包干结算。</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“措施项目清单与计价表” 中所填写的报价金额， 应全面涵盖招标文件约定的投标人中标后施工、 竣工、 交付本工程并维修其任何缺陷所需要履行的责任和义务的全部费用。 对于“措施项目清单与计价表” 中所填写的报价金额，应按照 “措施项目清单报价分析表” 对措施项目报价的组成进行详细的列项和分析。</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招标人提供的措施项目清单中所列项目仅指一般的通用项目，投标人在报价时应充分、 全面地阅读和理解图纸、 招标文件的相关内容和约定， 详实了解工程场地及其周围环境， 充分考虑招标工程特点及拟定的施工方案和施工组织设计，对招标人给出的措施项目清单的项目根据拟建工程的实际情况列项，对招标人未列的措施项目，投标人可根据工程实际进行补充。</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16.2.4对于设备报价，投标人应按照本招标文件列明的设备明细，将各项设备在相应的分部分项工程量清单项下按不含税价格列计；清单项目综合单价应不含设备费，设备只计取税金。签订合同时，以附表的形式在合同中列明本工程采用的设备，结算时只计取税金。</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16.2.5中标单位必须提供与投标文件相一致的预算软件电子版，作为编制新编综合单价时使用；若不提供，则以财政评审单位确定的价格为准。</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16.2.6工程结算时，承包方提报结算价经财政评审审计后，审减额超过报审价的5%以外部分所产生的审计费由承包方承担并直接支付。</w:t>
      </w:r>
    </w:p>
    <w:p>
      <w:pPr>
        <w:topLinePunct/>
        <w:spacing w:line="5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16.3材料供应方式</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16.3.1本工程所需的材料、设备全部由承包方负责采购，对影响使用功能的部分主要材料，必须按附表要求的技术参数进行采购，承包方在采购材料前 7 天内通知发包方，经建设单位、施工单位、监理单位、审计单位共同确认价格、质量、生产厂家或供应商等符合要求后，再行采购。承包方采购的材料，在采购前虽经建设单位、施工单位、监理单位、</w:t>
      </w:r>
      <w:r>
        <w:rPr>
          <w:rFonts w:hint="eastAsia" w:ascii="宋体" w:hAnsi="宋体" w:cs="宋体"/>
          <w:b w:val="0"/>
          <w:bCs w:val="0"/>
          <w:color w:val="auto"/>
          <w:sz w:val="24"/>
          <w:highlight w:val="none"/>
          <w:lang w:val="en-US" w:eastAsia="zh-CN"/>
        </w:rPr>
        <w:t>财政评审</w:t>
      </w:r>
      <w:r>
        <w:rPr>
          <w:rFonts w:hint="eastAsia" w:ascii="宋体" w:hAnsi="宋体" w:eastAsia="宋体" w:cs="宋体"/>
          <w:b w:val="0"/>
          <w:bCs w:val="0"/>
          <w:color w:val="auto"/>
          <w:sz w:val="24"/>
          <w:highlight w:val="none"/>
        </w:rPr>
        <w:t>单位进行了确认，但材料质量问题造成的工程质量不合格，其责任仍由承包方承担。未按规定中标人自行采购的材料，一切责任由中标人承担。对于进场材料，建设方进行必要检验，进场材料不符合招标文件中给定的技术参数要求，其责任由承包方承担。</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16.3.2承包方采购变更工程中新出现的材料，须会同建设单位、施工单位、监理单位、</w:t>
      </w:r>
      <w:r>
        <w:rPr>
          <w:rFonts w:hint="eastAsia" w:ascii="宋体" w:hAnsi="宋体" w:cs="宋体"/>
          <w:b w:val="0"/>
          <w:bCs w:val="0"/>
          <w:color w:val="auto"/>
          <w:sz w:val="24"/>
          <w:highlight w:val="none"/>
          <w:lang w:val="en-US" w:eastAsia="zh-CN"/>
        </w:rPr>
        <w:t>财政评审</w:t>
      </w:r>
      <w:r>
        <w:rPr>
          <w:rFonts w:hint="eastAsia" w:ascii="宋体" w:hAnsi="宋体" w:eastAsia="宋体" w:cs="宋体"/>
          <w:b w:val="0"/>
          <w:bCs w:val="0"/>
          <w:color w:val="auto"/>
          <w:sz w:val="24"/>
          <w:highlight w:val="none"/>
        </w:rPr>
        <w:t>单位共同考察或依法招标确认单价。经四方签字确认，作为变更工程价款结算的依据。否则，结算时材料价格由发包方自行确认，由此造成的责任由承包方自行承担。</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16.3.3投标单位在报价过程中，应考虑到施工期内材料价格波动的因素，增强风险防范意识，承担主要材料价格波动造成的风险，保障建筑工程的顺利实施。在施工期间除暂估价材料外，其他的主要材料价格不予调整。</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16.3.4</w:t>
      </w:r>
      <w:r>
        <w:rPr>
          <w:rFonts w:hint="eastAsia" w:ascii="宋体" w:hAnsi="宋体" w:eastAsia="宋体" w:cs="宋体"/>
          <w:b/>
          <w:bCs/>
          <w:color w:val="auto"/>
          <w:sz w:val="24"/>
          <w:highlight w:val="none"/>
        </w:rPr>
        <w:t>对于暂列金额（如果有），由招标人提供相应暂列金额一览表，报价时供应商必须按照暂列金额报价，否则按照废标处理。</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对于暂估价材料（专业暂估项目）（如果有），由招标人提供相应材料（专业暂估项目）暂估价一览表，报价时供应商必须按照暂估价报价，否则按照无效报价处理；暂估价材料（专业暂估项目）采购前必须经建设单位、施工单位、监理单位、财政评审单位共同确认或依法招标确定材料价格，否则不予认可。工程竣工结算时，暂估价材料根据除税价调整材差，并计取规费和税金。专业暂估项目根据招标文件其他规定进行考察组价。施工期间工程量清单内的除暂估价之外的材料价格不予调整。</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对于依法必须招标的暂估价项目的确认和批准采取《建设工程施工合同》通用条款依法必须招标的暂估价项目中第 1 种方式确定，按照本地相关政策规定进行公开招标。</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16.3.5因工程材料规格、型号等导致的变更，结算时只计取两种材料的价差及其税金。如遇原投标报价异常时，被调整的原材料采用投标时市场价格，新增材料价格由建设单位、施工单位、监理单位、财政评审单位共同确认。</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16.3.6工程质量要求达到合格标准。按现行施工验收规范和质量评定标准进行验收，若一次验收不合格，由中标单位负责无偿返修，并从工程结算中扣留5%的违约金，作为对招标人的补偿。</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施工过程中由于中标方原因造成的违约责任罚款，在招标方出具罚款通知单后三日内交至甲方财务部门，否则不予拨付当期工程款。</w:t>
      </w:r>
    </w:p>
    <w:p>
      <w:pPr>
        <w:topLinePunct/>
        <w:spacing w:line="500" w:lineRule="exac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在施工管理过程中，如承包人的材料、施工工艺存在质量问题或不遵守施工现场管理制度等的，甲方或监理方可以书面形式向承包人发出限期整改通知单，承包人未能在整改期限内完成整改的，则每延迟一日罚款10000元。</w:t>
      </w:r>
    </w:p>
    <w:p>
      <w:pPr>
        <w:keepNext w:val="0"/>
        <w:keepLines w:val="0"/>
        <w:pageBreakBefore w:val="0"/>
        <w:kinsoku/>
        <w:wordWrap/>
        <w:overflowPunct/>
        <w:topLinePunct/>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16.3.</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 xml:space="preserve"> </w:t>
      </w:r>
      <w:r>
        <w:rPr>
          <w:rFonts w:hint="eastAsia" w:ascii="宋体" w:hAnsi="宋体" w:eastAsia="宋体" w:cs="宋体"/>
          <w:b w:val="0"/>
          <w:bCs w:val="0"/>
          <w:color w:val="auto"/>
          <w:sz w:val="24"/>
          <w:highlight w:val="none"/>
          <w:lang w:val="en-US" w:eastAsia="zh-CN"/>
        </w:rPr>
        <w:t>付</w:t>
      </w:r>
      <w:r>
        <w:rPr>
          <w:rFonts w:hint="eastAsia" w:ascii="宋体" w:hAnsi="宋体" w:eastAsia="宋体" w:cs="宋体"/>
          <w:b w:val="0"/>
          <w:bCs w:val="0"/>
          <w:color w:val="auto"/>
          <w:sz w:val="24"/>
          <w:highlight w:val="none"/>
        </w:rPr>
        <w:t>款方式：</w:t>
      </w:r>
      <w:r>
        <w:rPr>
          <w:rFonts w:hint="eastAsia" w:ascii="宋体" w:hAnsi="宋体" w:eastAsia="宋体" w:cs="宋体"/>
          <w:b w:val="0"/>
          <w:bCs w:val="0"/>
          <w:color w:val="auto"/>
          <w:sz w:val="24"/>
          <w:highlight w:val="none"/>
          <w:lang w:val="en-US" w:eastAsia="zh-CN"/>
        </w:rPr>
        <w:t>见须知前附表</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16.3.</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pacing w:val="-41"/>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开标时，《公开唱价一览表》内容与</w:t>
      </w:r>
      <w:r>
        <w:rPr>
          <w:rFonts w:hint="eastAsia" w:asciiTheme="minorEastAsia" w:hAnsiTheme="minorEastAsia" w:eastAsiaTheme="minorEastAsia" w:cstheme="minorEastAsia"/>
          <w:color w:val="auto"/>
          <w:spacing w:val="-11"/>
          <w:sz w:val="24"/>
          <w:szCs w:val="24"/>
          <w:highlight w:val="none"/>
          <w:lang w:val="en-US" w:eastAsia="zh-CN"/>
        </w:rPr>
        <w:t>投标</w:t>
      </w:r>
      <w:r>
        <w:rPr>
          <w:rFonts w:hint="eastAsia" w:asciiTheme="minorEastAsia" w:hAnsiTheme="minorEastAsia" w:eastAsiaTheme="minorEastAsia" w:cstheme="minorEastAsia"/>
          <w:color w:val="auto"/>
          <w:spacing w:val="-11"/>
          <w:sz w:val="24"/>
          <w:szCs w:val="24"/>
          <w:highlight w:val="none"/>
        </w:rPr>
        <w:t>文件中的相应内容若不一致，以《公</w:t>
      </w:r>
      <w:r>
        <w:rPr>
          <w:rFonts w:hint="eastAsia" w:asciiTheme="minorEastAsia" w:hAnsiTheme="minorEastAsia" w:eastAsiaTheme="minorEastAsia" w:cstheme="minorEastAsia"/>
          <w:color w:val="auto"/>
          <w:sz w:val="24"/>
          <w:szCs w:val="24"/>
          <w:highlight w:val="none"/>
        </w:rPr>
        <w:t>开唱价一览表》为准。</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lang w:val="en-US" w:eastAsia="en-US"/>
        </w:rPr>
      </w:pPr>
      <w:r>
        <w:rPr>
          <w:rFonts w:hint="eastAsia" w:asciiTheme="minorEastAsia" w:hAnsiTheme="minorEastAsia" w:eastAsiaTheme="minorEastAsia" w:cstheme="minorEastAsia"/>
          <w:color w:val="auto"/>
          <w:spacing w:val="-4"/>
          <w:sz w:val="24"/>
          <w:szCs w:val="24"/>
          <w:highlight w:val="none"/>
        </w:rPr>
        <w:t>16.3.</w:t>
      </w:r>
      <w:r>
        <w:rPr>
          <w:rFonts w:hint="eastAsia" w:asciiTheme="minorEastAsia" w:hAnsiTheme="minorEastAsia" w:eastAsiaTheme="minorEastAsia" w:cstheme="minorEastAsia"/>
          <w:color w:val="auto"/>
          <w:spacing w:val="-4"/>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rPr>
        <w:t xml:space="preserve">.1 </w:t>
      </w:r>
      <w:r>
        <w:rPr>
          <w:rFonts w:hint="eastAsia" w:asciiTheme="minorEastAsia" w:hAnsiTheme="minorEastAsia" w:eastAsiaTheme="minorEastAsia" w:cstheme="minorEastAsia"/>
          <w:color w:val="auto"/>
          <w:spacing w:val="-4"/>
          <w:sz w:val="24"/>
          <w:szCs w:val="24"/>
          <w:highlight w:val="none"/>
          <w:lang w:val="en-US" w:eastAsia="zh-CN"/>
        </w:rPr>
        <w:t xml:space="preserve">  投标</w:t>
      </w:r>
      <w:r>
        <w:rPr>
          <w:rFonts w:hint="eastAsia" w:asciiTheme="minorEastAsia" w:hAnsiTheme="minorEastAsia" w:eastAsiaTheme="minorEastAsia" w:cstheme="minorEastAsia"/>
          <w:color w:val="auto"/>
          <w:spacing w:val="-4"/>
          <w:sz w:val="24"/>
          <w:szCs w:val="24"/>
          <w:highlight w:val="none"/>
          <w:lang w:val="en-US" w:eastAsia="en-US"/>
        </w:rPr>
        <w:t>文件的大</w:t>
      </w:r>
      <w:r>
        <w:rPr>
          <w:rFonts w:hint="eastAsia" w:asciiTheme="minorEastAsia" w:hAnsiTheme="minorEastAsia" w:eastAsiaTheme="minorEastAsia" w:cstheme="minorEastAsia"/>
          <w:color w:val="auto"/>
          <w:spacing w:val="-4"/>
          <w:sz w:val="24"/>
          <w:szCs w:val="24"/>
          <w:highlight w:val="none"/>
        </w:rPr>
        <w:t>写金额和小写金额不一致的，以大写金额为准；</w:t>
      </w:r>
      <w:r>
        <w:rPr>
          <w:rFonts w:hint="eastAsia" w:asciiTheme="minorEastAsia" w:hAnsiTheme="minorEastAsia" w:eastAsiaTheme="minorEastAsia" w:cstheme="minorEastAsia"/>
          <w:color w:val="auto"/>
          <w:spacing w:val="-4"/>
          <w:sz w:val="24"/>
          <w:szCs w:val="24"/>
          <w:highlight w:val="none"/>
          <w:lang w:val="en-US" w:eastAsia="en-US"/>
        </w:rPr>
        <w:t>单价金额小数点或者百分比有明显错位的，以开标一览表的总价为准，并修改单价；总价金额与按单价汇总金额不一致的，以单价金额计算结果为准。</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en-US"/>
        </w:rPr>
        <w:t>　　同时出现两种以上不一致的，按照前款规定的顺序修正。修正后的报价经投标人确认后产生约束力，投标人不确认的，其投标无效。</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16.3.</w:t>
      </w:r>
      <w:r>
        <w:rPr>
          <w:rFonts w:hint="eastAsia" w:asciiTheme="minorEastAsia" w:hAnsiTheme="minorEastAsia" w:eastAsiaTheme="minorEastAsia" w:cstheme="minorEastAsia"/>
          <w:color w:val="auto"/>
          <w:spacing w:val="-4"/>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rPr>
        <w:t>.2 最低报价不是成交的唯一因素，供应商所报方案应符合</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文件的要求和规定。</w:t>
      </w:r>
    </w:p>
    <w:p>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464" w:firstLineChars="200"/>
        <w:jc w:val="both"/>
        <w:textAlignment w:val="auto"/>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16.3.</w:t>
      </w:r>
      <w:r>
        <w:rPr>
          <w:rFonts w:hint="eastAsia" w:asciiTheme="minorEastAsia" w:hAnsiTheme="minorEastAsia" w:eastAsiaTheme="minorEastAsia" w:cstheme="minorEastAsia"/>
          <w:color w:val="auto"/>
          <w:spacing w:val="-4"/>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rPr>
        <w:t>.3 本次</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不接受供应商以联合体形式报价且只能投报一个方案。若报多种方案或备选方案，</w:t>
      </w:r>
      <w:r>
        <w:rPr>
          <w:rFonts w:hint="eastAsia" w:asciiTheme="minorEastAsia" w:hAnsiTheme="minorEastAsia" w:eastAsiaTheme="minorEastAsia" w:cstheme="minorEastAsia"/>
          <w:color w:val="auto"/>
          <w:spacing w:val="-4"/>
          <w:sz w:val="24"/>
          <w:szCs w:val="24"/>
          <w:highlight w:val="none"/>
          <w:lang w:val="en-US" w:eastAsia="zh-CN"/>
        </w:rPr>
        <w:t>评审</w:t>
      </w:r>
      <w:r>
        <w:rPr>
          <w:rFonts w:hint="eastAsia" w:asciiTheme="minorEastAsia" w:hAnsiTheme="minorEastAsia" w:eastAsiaTheme="minorEastAsia" w:cstheme="minorEastAsia"/>
          <w:color w:val="auto"/>
          <w:spacing w:val="-4"/>
          <w:sz w:val="24"/>
          <w:szCs w:val="24"/>
          <w:highlight w:val="none"/>
        </w:rPr>
        <w:t>小组只接受报价最高的方案，其余方案不予接受。</w:t>
      </w:r>
    </w:p>
    <w:p>
      <w:pPr>
        <w:pStyle w:val="2"/>
        <w:keepNext w:val="0"/>
        <w:keepLines w:val="0"/>
        <w:pageBreakBefore w:val="0"/>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rPr>
      </w:pPr>
      <w:r>
        <w:rPr>
          <w:rFonts w:hint="eastAsia" w:asciiTheme="minorEastAsia" w:hAnsiTheme="minorEastAsia" w:eastAsiaTheme="minorEastAsia" w:cstheme="minorEastAsia"/>
          <w:color w:val="auto"/>
          <w:sz w:val="24"/>
          <w:szCs w:val="24"/>
          <w:highlight w:val="none"/>
        </w:rPr>
        <w:t>16.3.</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pacing w:val="-46"/>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lang w:val="en-US" w:eastAsia="zh-CN"/>
        </w:rPr>
        <w:t>评审</w:t>
      </w:r>
      <w:r>
        <w:rPr>
          <w:rFonts w:hint="eastAsia" w:asciiTheme="minorEastAsia" w:hAnsiTheme="minorEastAsia" w:eastAsiaTheme="minorEastAsia" w:cstheme="minorEastAsia"/>
          <w:color w:val="auto"/>
          <w:spacing w:val="-4"/>
          <w:sz w:val="24"/>
          <w:szCs w:val="24"/>
          <w:highlight w:val="none"/>
        </w:rPr>
        <w:t>小组发现供应商的报价明显高于或低于其他报价的，可要求该供应商</w:t>
      </w:r>
      <w:r>
        <w:rPr>
          <w:rFonts w:hint="eastAsia" w:asciiTheme="minorEastAsia" w:hAnsiTheme="minorEastAsia" w:eastAsiaTheme="minorEastAsia" w:cstheme="minorEastAsia"/>
          <w:color w:val="auto"/>
          <w:sz w:val="24"/>
          <w:szCs w:val="24"/>
          <w:highlight w:val="none"/>
        </w:rPr>
        <w:t>做出说明。其说明报价高或低的理由是否合理，须经</w:t>
      </w:r>
      <w:r>
        <w:rPr>
          <w:rFonts w:hint="eastAsia" w:asciiTheme="minorEastAsia" w:hAnsiTheme="minorEastAsia" w:eastAsiaTheme="minorEastAsia" w:cstheme="minorEastAsia"/>
          <w:color w:val="auto"/>
          <w:spacing w:val="-4"/>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小组 2/3 以上（含</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z w:val="24"/>
          <w:szCs w:val="24"/>
          <w:highlight w:val="none"/>
        </w:rPr>
        <w:t>2/3）的 成员认定；否则，</w:t>
      </w:r>
      <w:r>
        <w:rPr>
          <w:rFonts w:hint="eastAsia" w:asciiTheme="minorEastAsia" w:hAnsiTheme="minorEastAsia" w:eastAsiaTheme="minorEastAsia" w:cstheme="minorEastAsia"/>
          <w:color w:val="auto"/>
          <w:spacing w:val="-4"/>
          <w:sz w:val="24"/>
          <w:szCs w:val="24"/>
          <w:highlight w:val="none"/>
          <w:lang w:val="en-US" w:eastAsia="zh-CN"/>
        </w:rPr>
        <w:t>评审</w:t>
      </w:r>
      <w:r>
        <w:rPr>
          <w:rFonts w:hint="eastAsia" w:asciiTheme="minorEastAsia" w:hAnsiTheme="minorEastAsia" w:eastAsiaTheme="minorEastAsia" w:cstheme="minorEastAsia"/>
          <w:color w:val="auto"/>
          <w:sz w:val="24"/>
          <w:szCs w:val="24"/>
          <w:highlight w:val="none"/>
        </w:rPr>
        <w:t>小组有权据此对其做出无效报价的处理。</w:t>
      </w:r>
    </w:p>
    <w:p>
      <w:pPr>
        <w:topLinePunct/>
        <w:spacing w:line="500" w:lineRule="exact"/>
        <w:ind w:firstLine="482" w:firstLineChars="200"/>
        <w:rPr>
          <w:rFonts w:hint="eastAsia" w:ascii="宋体" w:hAnsi="宋体" w:eastAsia="宋体" w:cs="宋体"/>
          <w:b/>
          <w:sz w:val="24"/>
        </w:rPr>
      </w:pPr>
      <w:r>
        <w:rPr>
          <w:rFonts w:hint="eastAsia" w:ascii="宋体" w:hAnsi="宋体" w:eastAsia="宋体" w:cs="宋体"/>
          <w:b/>
          <w:sz w:val="24"/>
        </w:rPr>
        <w:t>17.投标文件份数和签署</w:t>
      </w:r>
    </w:p>
    <w:p>
      <w:pPr>
        <w:topLinePunct/>
        <w:spacing w:line="500" w:lineRule="exact"/>
        <w:ind w:firstLine="480" w:firstLineChars="200"/>
        <w:rPr>
          <w:rFonts w:hint="eastAsia" w:ascii="宋体" w:hAnsi="宋体" w:eastAsia="宋体" w:cs="宋体"/>
          <w:sz w:val="24"/>
        </w:rPr>
      </w:pPr>
      <w:r>
        <w:rPr>
          <w:rFonts w:hint="eastAsia" w:ascii="宋体" w:hAnsi="宋体" w:eastAsia="宋体" w:cs="宋体"/>
          <w:sz w:val="24"/>
        </w:rPr>
        <w:t>17.1投标单位</w:t>
      </w:r>
      <w:r>
        <w:rPr>
          <w:rFonts w:hint="eastAsia" w:ascii="宋体" w:hAnsi="宋体" w:cs="宋体"/>
          <w:sz w:val="24"/>
          <w:lang w:val="en-US" w:eastAsia="zh-CN"/>
        </w:rPr>
        <w:t>中标后</w:t>
      </w:r>
      <w:r>
        <w:rPr>
          <w:rFonts w:hint="eastAsia" w:ascii="宋体" w:hAnsi="宋体" w:eastAsia="宋体" w:cs="宋体"/>
          <w:sz w:val="24"/>
        </w:rPr>
        <w:t>应按照本须知的要求，准备一式五份投标文件（一份正本、四份副本），每份投标文件须清楚地标明“正本”或“副本”字样。一旦正本和副本不符，以正本为准。</w:t>
      </w:r>
    </w:p>
    <w:p>
      <w:pPr>
        <w:topLinePunct/>
        <w:spacing w:line="500" w:lineRule="exact"/>
        <w:ind w:firstLine="482" w:firstLineChars="200"/>
        <w:rPr>
          <w:rFonts w:hint="eastAsia" w:ascii="宋体" w:hAnsi="宋体" w:eastAsia="宋体" w:cs="宋体"/>
          <w:b/>
          <w:sz w:val="24"/>
        </w:rPr>
      </w:pPr>
      <w:r>
        <w:rPr>
          <w:rFonts w:hint="eastAsia" w:ascii="宋体" w:hAnsi="宋体" w:eastAsia="宋体" w:cs="宋体"/>
          <w:b/>
          <w:sz w:val="24"/>
        </w:rPr>
        <w:t>投标人无需递交纸质投标文件，本项目实行电子招投标,纸质投标文件由中标单位在中标后根据要求打印与电子版投标文件相一致的材料。</w:t>
      </w:r>
    </w:p>
    <w:p>
      <w:pPr>
        <w:topLinePunct/>
        <w:spacing w:line="500" w:lineRule="exact"/>
        <w:ind w:firstLine="480" w:firstLineChars="200"/>
        <w:rPr>
          <w:rFonts w:hint="eastAsia" w:ascii="宋体" w:hAnsi="宋体" w:eastAsia="宋体" w:cs="宋体"/>
          <w:sz w:val="24"/>
        </w:rPr>
      </w:pPr>
      <w:r>
        <w:rPr>
          <w:rFonts w:hint="eastAsia" w:ascii="宋体" w:hAnsi="宋体" w:eastAsia="宋体" w:cs="宋体"/>
          <w:sz w:val="24"/>
        </w:rPr>
        <w:t>17.2 投标文件的正本和所有的副本均需打印，在招标文件要求签字的地方均由供应商法定代表人或其授权代表签字</w:t>
      </w:r>
      <w:r>
        <w:rPr>
          <w:rFonts w:hint="eastAsia" w:ascii="宋体" w:hAnsi="宋体" w:cs="宋体"/>
          <w:sz w:val="24"/>
          <w:lang w:eastAsia="zh-CN"/>
        </w:rPr>
        <w:t>，</w:t>
      </w:r>
      <w:r>
        <w:rPr>
          <w:rFonts w:hint="eastAsia" w:ascii="宋体" w:hAnsi="宋体" w:cs="宋体"/>
          <w:sz w:val="24"/>
          <w:lang w:val="en-US" w:eastAsia="zh-CN"/>
        </w:rPr>
        <w:t>要求盖章的地方均须加盖公章</w:t>
      </w:r>
      <w:r>
        <w:rPr>
          <w:rFonts w:hint="eastAsia" w:ascii="宋体" w:hAnsi="宋体" w:eastAsia="宋体" w:cs="宋体"/>
          <w:sz w:val="24"/>
        </w:rPr>
        <w:t>。</w:t>
      </w:r>
    </w:p>
    <w:p>
      <w:pPr>
        <w:topLinePunct/>
        <w:spacing w:line="500" w:lineRule="exact"/>
        <w:ind w:firstLine="480" w:firstLineChars="200"/>
        <w:rPr>
          <w:rFonts w:hint="eastAsia" w:ascii="宋体" w:hAnsi="宋体" w:eastAsia="宋体" w:cs="宋体"/>
          <w:sz w:val="24"/>
        </w:rPr>
      </w:pPr>
      <w:r>
        <w:rPr>
          <w:rFonts w:hint="eastAsia" w:ascii="宋体" w:hAnsi="宋体" w:eastAsia="宋体" w:cs="宋体"/>
          <w:sz w:val="24"/>
        </w:rPr>
        <w:t>17.3 除供应商对错处做必要修改外，投标文件不得行间插字、涂改或增删，如有修改错漏处，必须由投标文件签署人签字/盖章。</w:t>
      </w:r>
    </w:p>
    <w:p>
      <w:pPr>
        <w:topLinePunct/>
        <w:spacing w:line="500" w:lineRule="exact"/>
        <w:ind w:firstLine="482" w:firstLineChars="200"/>
        <w:rPr>
          <w:rFonts w:hint="eastAsia" w:ascii="宋体" w:hAnsi="宋体" w:eastAsia="宋体" w:cs="宋体"/>
          <w:b/>
          <w:sz w:val="24"/>
          <w:u w:val="double"/>
        </w:rPr>
      </w:pPr>
    </w:p>
    <w:p>
      <w:pPr>
        <w:topLinePunct/>
        <w:spacing w:line="48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t>四、投标文件的递交</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18.投标文件的密封和标记（参考格式）</w:t>
      </w:r>
    </w:p>
    <w:p>
      <w:pPr>
        <w:topLinePunct/>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投标人应通过电子投标文件制作工具严格按招标文件要求制作投标文件，在开标截止时 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 </w:t>
      </w:r>
    </w:p>
    <w:p>
      <w:pPr>
        <w:topLinePunct/>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投标截止时间以临沂市公共资源交易中心交易平台显示的时间为准，逾期系统将自动关闭，未完成上传的电子投标文件视为逾期送达，将被拒绝。</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19.投标文件的提交</w:t>
      </w:r>
    </w:p>
    <w:p>
      <w:pPr>
        <w:topLinePunct/>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投标单位应按招标文件第一章《招标公告》中规定的地点，于投标截止时间前递交投标文件。电子投标文件网上递交（网址为http://ggzyjy.linyi.gov.cn）（凭CA登录系统上传投标文件）。 </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20.投标截止时间</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bCs/>
          <w:sz w:val="24"/>
        </w:rPr>
        <w:t>20.1 投标截止时间见招标文件</w:t>
      </w:r>
      <w:r>
        <w:rPr>
          <w:rFonts w:hint="eastAsia" w:ascii="宋体" w:hAnsi="宋体" w:eastAsia="宋体" w:cs="宋体"/>
          <w:sz w:val="24"/>
        </w:rPr>
        <w:t>第一章《招标公告》。</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20.2招标代理机构可以按须知第10条规定，通过修改招标文件自行决定酌情延长投标截止时间。在此情况下，招标文件购买者和供应商的所有权利和义务以及供应商受制约的投标截止时间均应以延长后新的投标截止时间为准。</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21.迟交的投标文件</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招标代理机构将拒绝并原封退回在其规定的投标截止时间后送达的任何投标文件。</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22.投标文件的补充、修改和撤回</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22.1供应商在递交投标文件后，在规定的投标截止时间前，可以以书面形式补充修改或撤回已提交的投标文件，并以书面形式通知招标代理机构，修改或撤回其投标文件，补充、修改的内容为其投标文件的组成部分。</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22.2供应商对投标文件的补充、修改，应按本须知第17条的规定进行编制和签署，并按本须知第18条的规定进行密封、标记，同时还应在封套上加注“修改”字样。修改文件同样必须在投标截止时间前送达招标代理机构。</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22.3在投标截止时间之后，供应商不得对其投标文件做任何实质性修改。</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22.4在投标截止时间至招标代理机构在招标文件中规定的投标有效期期满之间的这段时间内，供应商不得撤回其投标文件。</w:t>
      </w:r>
    </w:p>
    <w:p>
      <w:pPr>
        <w:topLinePunct/>
        <w:spacing w:line="480" w:lineRule="exact"/>
        <w:ind w:firstLine="480" w:firstLineChars="200"/>
        <w:rPr>
          <w:rFonts w:hint="eastAsia" w:ascii="宋体" w:hAnsi="宋体" w:eastAsia="宋体" w:cs="宋体"/>
          <w:sz w:val="24"/>
        </w:rPr>
      </w:pPr>
    </w:p>
    <w:p>
      <w:pPr>
        <w:keepNext/>
        <w:keepLines/>
        <w:tabs>
          <w:tab w:val="left" w:pos="1260"/>
        </w:tabs>
        <w:spacing w:line="700" w:lineRule="exact"/>
        <w:jc w:val="center"/>
        <w:outlineLvl w:val="1"/>
        <w:rPr>
          <w:rFonts w:hint="eastAsia" w:ascii="宋体" w:hAnsi="宋体" w:eastAsia="宋体" w:cs="宋体"/>
          <w:sz w:val="32"/>
          <w:szCs w:val="32"/>
        </w:rPr>
      </w:pPr>
      <w:bookmarkStart w:id="16" w:name="_Toc76741787"/>
      <w:r>
        <w:rPr>
          <w:rFonts w:hint="eastAsia" w:ascii="宋体" w:hAnsi="宋体" w:eastAsia="宋体" w:cs="宋体"/>
          <w:sz w:val="32"/>
          <w:szCs w:val="32"/>
        </w:rPr>
        <w:t>五、开标、评标与定标</w:t>
      </w:r>
      <w:bookmarkEnd w:id="16"/>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23.开标一般规定</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23.1招标代理机构将在招标文件第一章《招标公告》中规定的时间和地点组织公开开标。</w:t>
      </w:r>
    </w:p>
    <w:p>
      <w:pPr>
        <w:topLinePunct/>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23.2 按照本须知第22条规定，同意撤回的投标文件将不予开封。</w:t>
      </w:r>
    </w:p>
    <w:p>
      <w:pPr>
        <w:topLinePunct/>
        <w:spacing w:line="480" w:lineRule="exact"/>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cs="宋体"/>
          <w:bCs/>
          <w:sz w:val="24"/>
          <w:lang w:val="en-US" w:eastAsia="zh-CN"/>
        </w:rPr>
        <w:t xml:space="preserve">   </w:t>
      </w:r>
      <w:r>
        <w:rPr>
          <w:rFonts w:hint="eastAsia" w:ascii="宋体" w:hAnsi="宋体" w:eastAsia="宋体" w:cs="宋体"/>
          <w:bCs/>
          <w:sz w:val="24"/>
        </w:rPr>
        <w:t>23.3 开标由招标采购代理机构主持，邀请采购人、财政部门和有关监督部门代表参加，财政部门和有关监督部门可视情况派员现场监督。</w:t>
      </w:r>
    </w:p>
    <w:p>
      <w:pPr>
        <w:topLinePunct/>
        <w:spacing w:line="480" w:lineRule="exact"/>
        <w:ind w:firstLine="480"/>
        <w:rPr>
          <w:rFonts w:hint="eastAsia" w:ascii="宋体" w:hAnsi="宋体" w:eastAsia="宋体" w:cs="宋体"/>
          <w:bCs/>
          <w:sz w:val="24"/>
        </w:rPr>
      </w:pPr>
      <w:r>
        <w:rPr>
          <w:rFonts w:hint="eastAsia" w:ascii="宋体" w:hAnsi="宋体" w:eastAsia="宋体" w:cs="宋体"/>
          <w:bCs/>
          <w:sz w:val="24"/>
        </w:rPr>
        <w:t>23.4开标时，</w:t>
      </w:r>
      <w:r>
        <w:rPr>
          <w:rFonts w:hint="eastAsia" w:ascii="宋体" w:hAnsi="宋体" w:eastAsia="宋体" w:cs="宋体"/>
          <w:bCs/>
          <w:sz w:val="24"/>
          <w:lang w:eastAsia="zh-CN"/>
        </w:rPr>
        <w:t>系统电声唱标将当众解密宣读每个供应商的公开报价中的主要内容</w:t>
      </w:r>
      <w:r>
        <w:rPr>
          <w:rFonts w:hint="eastAsia" w:ascii="宋体" w:hAnsi="宋体" w:eastAsia="宋体" w:cs="宋体"/>
          <w:bCs/>
          <w:sz w:val="24"/>
        </w:rPr>
        <w:t>。</w:t>
      </w:r>
    </w:p>
    <w:p>
      <w:pPr>
        <w:topLinePunct/>
        <w:spacing w:line="480" w:lineRule="exact"/>
        <w:ind w:firstLine="480"/>
        <w:rPr>
          <w:rFonts w:hint="eastAsia" w:ascii="宋体" w:hAnsi="宋体" w:eastAsia="宋体" w:cs="宋体"/>
          <w:bCs/>
          <w:sz w:val="24"/>
        </w:rPr>
      </w:pPr>
      <w:r>
        <w:rPr>
          <w:rFonts w:hint="eastAsia" w:ascii="宋体" w:hAnsi="宋体" w:eastAsia="宋体" w:cs="宋体"/>
          <w:bCs/>
          <w:sz w:val="24"/>
        </w:rPr>
        <w:t>23.5采购代理单位将做开标记录，开标记录包括按本须知第 23.4款规定在开标时宣读的全部内容。</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24.投标文件的有效性</w:t>
      </w:r>
    </w:p>
    <w:p>
      <w:pPr>
        <w:topLinePunct/>
        <w:spacing w:line="480" w:lineRule="exact"/>
        <w:ind w:left="482"/>
        <w:rPr>
          <w:rFonts w:hint="eastAsia" w:ascii="宋体" w:hAnsi="宋体" w:eastAsia="宋体" w:cs="宋体"/>
          <w:b/>
          <w:sz w:val="24"/>
          <w:u w:val="double"/>
        </w:rPr>
      </w:pPr>
      <w:r>
        <w:rPr>
          <w:rFonts w:hint="eastAsia" w:ascii="宋体" w:hAnsi="宋体" w:eastAsia="宋体" w:cs="宋体"/>
          <w:b/>
          <w:sz w:val="24"/>
        </w:rPr>
        <w:t>24.1</w:t>
      </w:r>
      <w:r>
        <w:rPr>
          <w:rFonts w:hint="eastAsia" w:ascii="宋体" w:hAnsi="宋体" w:eastAsia="宋体" w:cs="宋体"/>
          <w:b/>
          <w:sz w:val="24"/>
          <w:u w:val="double"/>
        </w:rPr>
        <w:t>开标时，投标文件出现下列情形之一的，应当作为无效投标文件，不得进入评审：</w:t>
      </w:r>
    </w:p>
    <w:p>
      <w:pPr>
        <w:topLinePunct/>
        <w:spacing w:line="480" w:lineRule="exact"/>
        <w:rPr>
          <w:rFonts w:hint="eastAsia" w:ascii="宋体" w:hAnsi="宋体" w:eastAsia="宋体" w:cs="宋体"/>
          <w:sz w:val="24"/>
        </w:rPr>
      </w:pPr>
      <w:r>
        <w:rPr>
          <w:rFonts w:hint="eastAsia" w:ascii="宋体" w:hAnsi="宋体" w:eastAsia="宋体" w:cs="宋体"/>
          <w:sz w:val="24"/>
        </w:rPr>
        <w:t xml:space="preserve">    a）</w:t>
      </w:r>
      <w:r>
        <w:rPr>
          <w:rFonts w:hint="eastAsia" w:ascii="宋体" w:hAnsi="宋体" w:eastAsia="宋体" w:cs="宋体"/>
          <w:sz w:val="24"/>
          <w:lang w:eastAsia="zh-CN"/>
        </w:rPr>
        <w:t>逾期上传或者未上传至开标系统的</w:t>
      </w:r>
      <w:r>
        <w:rPr>
          <w:rFonts w:hint="eastAsia" w:ascii="宋体" w:hAnsi="宋体" w:eastAsia="宋体" w:cs="宋体"/>
          <w:sz w:val="24"/>
        </w:rPr>
        <w:t>。</w:t>
      </w:r>
    </w:p>
    <w:p>
      <w:pPr>
        <w:topLinePunct/>
        <w:spacing w:line="480" w:lineRule="exact"/>
        <w:rPr>
          <w:rFonts w:hint="eastAsia" w:ascii="宋体" w:hAnsi="宋体" w:eastAsia="宋体" w:cs="宋体"/>
          <w:sz w:val="24"/>
        </w:rPr>
      </w:pPr>
      <w:r>
        <w:rPr>
          <w:rFonts w:hint="eastAsia" w:ascii="宋体" w:hAnsi="宋体" w:eastAsia="宋体" w:cs="宋体"/>
          <w:sz w:val="24"/>
        </w:rPr>
        <w:t xml:space="preserve">    b）不具备采购文件中规定的资格要求的。</w:t>
      </w:r>
    </w:p>
    <w:p>
      <w:pPr>
        <w:topLinePunct/>
        <w:spacing w:line="480" w:lineRule="exact"/>
        <w:rPr>
          <w:rFonts w:hint="eastAsia" w:ascii="宋体" w:hAnsi="宋体" w:eastAsia="宋体" w:cs="宋体"/>
          <w:sz w:val="24"/>
        </w:rPr>
      </w:pPr>
      <w:r>
        <w:rPr>
          <w:rFonts w:hint="eastAsia" w:ascii="宋体" w:hAnsi="宋体" w:eastAsia="宋体" w:cs="宋体"/>
          <w:sz w:val="24"/>
        </w:rPr>
        <w:t xml:space="preserve">    c）法律、法规及招标文件规定的其它情况。</w:t>
      </w:r>
    </w:p>
    <w:p>
      <w:pPr>
        <w:topLinePunct/>
        <w:spacing w:line="480" w:lineRule="exact"/>
        <w:ind w:left="480"/>
        <w:rPr>
          <w:rFonts w:hint="eastAsia" w:ascii="宋体" w:hAnsi="宋体" w:eastAsia="宋体" w:cs="宋体"/>
          <w:sz w:val="24"/>
        </w:rPr>
      </w:pPr>
      <w:r>
        <w:rPr>
          <w:rFonts w:hint="eastAsia" w:ascii="宋体" w:hAnsi="宋体" w:eastAsia="宋体" w:cs="宋体"/>
          <w:sz w:val="24"/>
        </w:rPr>
        <w:t>24.2招标代理机构将有效投标文件送评标委员会评审、比较。</w:t>
      </w:r>
    </w:p>
    <w:p>
      <w:pPr>
        <w:spacing w:line="480" w:lineRule="exact"/>
        <w:ind w:firstLine="424" w:firstLineChars="176"/>
        <w:rPr>
          <w:rFonts w:hint="eastAsia" w:ascii="宋体" w:hAnsi="宋体" w:eastAsia="宋体" w:cs="宋体"/>
          <w:b/>
          <w:bCs/>
          <w:sz w:val="24"/>
        </w:rPr>
      </w:pPr>
      <w:r>
        <w:rPr>
          <w:rFonts w:hint="eastAsia" w:ascii="宋体" w:hAnsi="宋体" w:eastAsia="宋体" w:cs="宋体"/>
          <w:b/>
          <w:bCs/>
          <w:sz w:val="24"/>
        </w:rPr>
        <w:t>24.3其它情况及处理</w:t>
      </w:r>
    </w:p>
    <w:p>
      <w:pPr>
        <w:spacing w:line="480" w:lineRule="exact"/>
        <w:ind w:firstLine="422" w:firstLineChars="176"/>
        <w:rPr>
          <w:rFonts w:hint="eastAsia" w:ascii="宋体" w:hAnsi="宋体" w:eastAsia="宋体" w:cs="宋体"/>
          <w:bCs/>
          <w:sz w:val="24"/>
        </w:rPr>
      </w:pPr>
      <w:r>
        <w:rPr>
          <w:rFonts w:hint="eastAsia" w:ascii="宋体" w:hAnsi="宋体" w:eastAsia="宋体" w:cs="宋体"/>
          <w:sz w:val="24"/>
        </w:rPr>
        <w:t>24.3.1投标单位有下列情况之一，其报价不仅被视为无效，而且采购人、采购代理机构将严格依照《中华人民共和国政府采购法》及有关法律、法规及规章的规定行使其权利。投标单位给采购人、采购代理机构造成损失的，应予以赔偿</w:t>
      </w:r>
      <w:r>
        <w:rPr>
          <w:rFonts w:hint="eastAsia" w:ascii="宋体" w:hAnsi="宋体" w:eastAsia="宋体" w:cs="宋体"/>
          <w:bCs/>
          <w:sz w:val="24"/>
        </w:rPr>
        <w:t>。</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（1）提供虚假材料谋取中标、成交的；</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（2）采取不正当手段诋毁、排挤其他投标单位的；</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（3）投标单位与采购人、其他投标单位或者采购代理机构恶意串通的；</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（4）投标单位向采购人、采购代理机构、评标委员会成员提供不正当利益；</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（5）在招标采购过程中主动与采购人进行协商谈判的；</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（6）法律、法规规定的其他情况。</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24.3.2中标单位有下列情形之一情节严重的，由财政部门将其列入不良行为记录名单，在一至三年内禁止参加政府采购活动，并予以通报：</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（一）中标后无正当理由不与采购人或者采购代理机构签订合同的；</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（二）将中标项目转让给他人的；</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（三）拒绝履行合同义务的。</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24.3.3在采购活动中，有下列情形之一的，采购人、采购代理机构应当予以废标或者终止采购活动，并将理由书面告知所有投标单位：</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（1）在投标截止时间结束后参加投标的投标单位不足3家，符合招标文件规定条件的投标单位不足3家或者对招标文件作实质性投标的投标单位不足3家的；</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（2）出现影响采购公正的违法违规行为的；</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（3）投标单位的报价均超过采购预算的；</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（4）因重大变故，采购任务取消的。</w:t>
      </w:r>
    </w:p>
    <w:p>
      <w:pPr>
        <w:spacing w:line="480" w:lineRule="exact"/>
        <w:ind w:firstLine="424" w:firstLineChars="176"/>
        <w:rPr>
          <w:rFonts w:hint="eastAsia" w:ascii="宋体" w:hAnsi="宋体" w:eastAsia="宋体" w:cs="宋体"/>
          <w:b/>
          <w:sz w:val="24"/>
        </w:rPr>
      </w:pPr>
      <w:r>
        <w:rPr>
          <w:rFonts w:hint="eastAsia" w:ascii="宋体" w:hAnsi="宋体" w:eastAsia="宋体" w:cs="宋体"/>
          <w:b/>
          <w:sz w:val="24"/>
        </w:rPr>
        <w:t>25.评标委员会</w:t>
      </w:r>
    </w:p>
    <w:p>
      <w:pPr>
        <w:spacing w:line="480" w:lineRule="exact"/>
        <w:ind w:firstLine="422" w:firstLineChars="176"/>
        <w:rPr>
          <w:rFonts w:hint="eastAsia" w:ascii="宋体" w:hAnsi="宋体" w:eastAsia="宋体" w:cs="宋体"/>
          <w:sz w:val="24"/>
        </w:rPr>
      </w:pPr>
      <w:r>
        <w:rPr>
          <w:rFonts w:hint="eastAsia" w:ascii="宋体" w:hAnsi="宋体" w:eastAsia="宋体" w:cs="宋体"/>
          <w:sz w:val="24"/>
        </w:rPr>
        <w:t>开标后，评标委员会进行评标。</w:t>
      </w:r>
    </w:p>
    <w:p>
      <w:pPr>
        <w:spacing w:line="480" w:lineRule="exact"/>
        <w:ind w:firstLine="424" w:firstLineChars="176"/>
        <w:rPr>
          <w:rFonts w:hint="eastAsia" w:ascii="宋体" w:hAnsi="宋体" w:eastAsia="宋体" w:cs="宋体"/>
          <w:b/>
          <w:bCs/>
          <w:sz w:val="24"/>
        </w:rPr>
      </w:pPr>
      <w:r>
        <w:rPr>
          <w:rFonts w:hint="eastAsia" w:ascii="宋体" w:hAnsi="宋体" w:eastAsia="宋体" w:cs="宋体"/>
          <w:b/>
          <w:bCs/>
          <w:sz w:val="24"/>
        </w:rPr>
        <w:t>根据本项目的特点依法组建评标委员会，其成员由采购人代表和有关技术、经济等方面的专家组成，成员人数为5人单数；其中，技术、经济等方面的专家不少于成员总数的三分之二。</w:t>
      </w:r>
    </w:p>
    <w:p>
      <w:pPr>
        <w:adjustRightInd w:val="0"/>
        <w:snapToGrid w:val="0"/>
        <w:spacing w:line="480" w:lineRule="exact"/>
        <w:ind w:firstLine="424" w:firstLineChars="176"/>
        <w:rPr>
          <w:rFonts w:hint="eastAsia" w:ascii="宋体" w:hAnsi="宋体" w:eastAsia="宋体" w:cs="宋体"/>
          <w:sz w:val="24"/>
        </w:rPr>
      </w:pPr>
      <w:r>
        <w:rPr>
          <w:rFonts w:hint="eastAsia" w:ascii="宋体" w:hAnsi="宋体" w:eastAsia="宋体" w:cs="宋体"/>
          <w:b/>
          <w:bCs/>
          <w:sz w:val="24"/>
        </w:rPr>
        <w:t>评标委员会独立开展工作，负责审议所有投标文件，并推荐中标候选人或直接确定中标人。</w:t>
      </w:r>
      <w:r>
        <w:rPr>
          <w:rFonts w:hint="eastAsia" w:ascii="宋体" w:hAnsi="宋体" w:eastAsia="宋体" w:cs="宋体"/>
          <w:sz w:val="24"/>
        </w:rPr>
        <w:t>评标委员会将对供应商的商业、技术秘密予以保密。</w:t>
      </w:r>
    </w:p>
    <w:p>
      <w:pPr>
        <w:adjustRightInd w:val="0"/>
        <w:snapToGrid w:val="0"/>
        <w:spacing w:line="480" w:lineRule="exact"/>
        <w:ind w:firstLine="424" w:firstLineChars="176"/>
        <w:rPr>
          <w:rFonts w:hint="eastAsia" w:ascii="宋体" w:hAnsi="宋体" w:eastAsia="宋体" w:cs="宋体"/>
          <w:b/>
          <w:sz w:val="24"/>
        </w:rPr>
      </w:pPr>
      <w:r>
        <w:rPr>
          <w:rFonts w:hint="eastAsia" w:ascii="宋体" w:hAnsi="宋体" w:eastAsia="宋体" w:cs="宋体"/>
          <w:b/>
          <w:sz w:val="24"/>
        </w:rPr>
        <w:t>26.评标过程的保密性</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公开开标后，凡是与审查、澄清、评价和比较投标的有关资料以及授标建议等，均不得向供应商及与评标无关的其他人员透露。</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在评标过程中,如果供应商试图向招标代理机构和参与评标的人员施加任何影响，都将会导致其投标被拒绝。</w:t>
      </w:r>
    </w:p>
    <w:p>
      <w:pPr>
        <w:adjustRightInd w:val="0"/>
        <w:snapToGrid w:val="0"/>
        <w:spacing w:line="480" w:lineRule="exact"/>
        <w:ind w:firstLine="424" w:firstLineChars="176"/>
        <w:rPr>
          <w:rFonts w:hint="eastAsia" w:ascii="宋体" w:hAnsi="宋体" w:eastAsia="宋体" w:cs="宋体"/>
          <w:b/>
          <w:sz w:val="24"/>
        </w:rPr>
      </w:pPr>
      <w:r>
        <w:rPr>
          <w:rFonts w:hint="eastAsia" w:ascii="宋体" w:hAnsi="宋体" w:eastAsia="宋体" w:cs="宋体"/>
          <w:b/>
          <w:sz w:val="24"/>
        </w:rPr>
        <w:t>27.投标文件的初审</w:t>
      </w:r>
    </w:p>
    <w:p>
      <w:pPr>
        <w:adjustRightInd w:val="0"/>
        <w:snapToGrid w:val="0"/>
        <w:spacing w:line="480" w:lineRule="exact"/>
        <w:ind w:firstLine="422" w:firstLineChars="176"/>
        <w:rPr>
          <w:rFonts w:hint="eastAsia" w:ascii="宋体" w:hAnsi="宋体" w:eastAsia="宋体" w:cs="宋体"/>
          <w:color w:val="FF0000"/>
          <w:sz w:val="24"/>
        </w:rPr>
      </w:pPr>
      <w:r>
        <w:rPr>
          <w:rFonts w:hint="eastAsia" w:ascii="宋体" w:hAnsi="宋体" w:eastAsia="宋体" w:cs="宋体"/>
          <w:sz w:val="24"/>
        </w:rPr>
        <w:t>27.1 在详细评标之前，评标委员会将依据招标文件的规定，从投标文件的有效性、完整性和对招标文件的投标程度进行审查，以确定是否对招标文件的实质性要求做出投标。实质性投标的投标应该是与招标文件要求的全部条款、条件和规格相符，没有重大偏离或保留的投标，所谓重大偏离或保留是指影响到招标文件规定的合同内容、服务质量，或者在实质上与招标文件不一致，而且限制了招标人的权利或供应商的义务，纠正这些偏离或保留将会对其他实质性投标要求的供应商的竞争地位产生不公正的影响。评标委员会决定投标文件的投标性是根据投标文件本身的内容，而不寻求外部证据。重大偏离的判定由评审专家现场确定，须经评标委员会2/3以上（含2/3）的成员认定。</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27.2如果投标文件实质上没有投标招标文件的要求，评标委员会有权拒绝其投标，供应商不得通过修改或撤销不合要求的偏离或保留而使其报价成为实质性投标的投标。</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27.3投标文件中未做详细描述导致评标委员会无法确认或理解的内容，评标委员会将向对于供应商不利的方向确认或理解。</w:t>
      </w:r>
    </w:p>
    <w:p>
      <w:pPr>
        <w:adjustRightInd w:val="0"/>
        <w:snapToGrid w:val="0"/>
        <w:spacing w:line="480" w:lineRule="exact"/>
        <w:ind w:firstLine="424" w:firstLineChars="176"/>
        <w:rPr>
          <w:rFonts w:hint="eastAsia" w:ascii="宋体" w:hAnsi="宋体" w:eastAsia="宋体" w:cs="宋体"/>
          <w:b/>
          <w:sz w:val="24"/>
          <w:u w:val="double"/>
        </w:rPr>
      </w:pPr>
      <w:r>
        <w:rPr>
          <w:rFonts w:hint="eastAsia" w:ascii="宋体" w:hAnsi="宋体" w:eastAsia="宋体" w:cs="宋体"/>
          <w:b/>
          <w:sz w:val="24"/>
          <w:u w:val="double"/>
        </w:rPr>
        <w:t>27.4 在商务评议时，若出现采购法36条情形以及下列情况之一的，评标委员会有权利拒绝该供应商的投标或作废标处理：</w:t>
      </w:r>
    </w:p>
    <w:p>
      <w:pPr>
        <w:adjustRightInd w:val="0"/>
        <w:snapToGrid w:val="0"/>
        <w:spacing w:line="480" w:lineRule="exact"/>
        <w:ind w:firstLine="422" w:firstLineChars="176"/>
        <w:rPr>
          <w:rFonts w:hint="eastAsia" w:ascii="宋体" w:hAnsi="宋体" w:eastAsia="宋体" w:cs="宋体"/>
          <w:color w:val="000000"/>
          <w:sz w:val="24"/>
        </w:rPr>
      </w:pPr>
      <w:r>
        <w:rPr>
          <w:rFonts w:hint="eastAsia" w:ascii="宋体" w:hAnsi="宋体" w:eastAsia="宋体" w:cs="宋体"/>
          <w:color w:val="000000"/>
          <w:sz w:val="24"/>
        </w:rPr>
        <w:t>27.4.1</w:t>
      </w:r>
      <w:r>
        <w:rPr>
          <w:rFonts w:hint="eastAsia" w:ascii="宋体" w:hAnsi="宋体" w:eastAsia="宋体" w:cs="宋体"/>
          <w:sz w:val="24"/>
        </w:rPr>
        <w:t>投标函、法定代表人授权委托书、公开唱价一览表、明细报价表中未加盖供应商公章；投标函、法定代表人授权委托书中法定代表人未签字/印章（或签字/印章人无法定代表人有效授权书的）。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27.4.2投标文件未按招标文件规定编制或字迹模糊不清，难以辨认的。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27.4.3供应商的投标文件不符合招标文件要求的。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27.4.4供应商递交两份或多份内容不同的投标文件，或在一份投标文件中对同一招标项目有两个或多个报价，且未声明哪一个有效（按招标文件规定提交备选投标方案的或招标文件有其它说明的除外）。</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27.4.5投标有效期不足的。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27.4.6公开唱标后，供应商撤回投标、退出评标的。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27.4.7供应商相互串通投标的。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27.4.8妨碍招标人、招标代理机构或其他供应商的合法权益。</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27.4.9供应商向招标人、招标代理机构、评标委员会提供不正当利益的。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27.4.10投标文件符合招标文件中规定废标的其它商务条款。</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27.4.11不具备采购文件中规定的资格要求的。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27.4.12</w:t>
      </w:r>
      <w:r>
        <w:rPr>
          <w:rFonts w:hint="eastAsia" w:ascii="宋体" w:hAnsi="宋体" w:eastAsia="宋体" w:cs="宋体"/>
          <w:color w:val="000000"/>
          <w:sz w:val="24"/>
        </w:rPr>
        <w:t>报价超过招标文件中规定的预算金额或者最高限价的。</w:t>
      </w:r>
    </w:p>
    <w:p>
      <w:pPr>
        <w:adjustRightInd w:val="0"/>
        <w:snapToGrid w:val="0"/>
        <w:spacing w:line="480" w:lineRule="exact"/>
        <w:ind w:firstLine="422" w:firstLineChars="176"/>
        <w:rPr>
          <w:rFonts w:hint="eastAsia" w:ascii="宋体" w:hAnsi="宋体" w:eastAsia="宋体" w:cs="宋体"/>
          <w:color w:val="000000"/>
          <w:sz w:val="24"/>
        </w:rPr>
      </w:pPr>
      <w:r>
        <w:rPr>
          <w:rFonts w:hint="eastAsia" w:ascii="宋体" w:hAnsi="宋体" w:eastAsia="宋体" w:cs="宋体"/>
          <w:sz w:val="24"/>
        </w:rPr>
        <w:t>27.4.13</w:t>
      </w:r>
      <w:r>
        <w:rPr>
          <w:rFonts w:hint="eastAsia" w:ascii="宋体" w:hAnsi="宋体" w:eastAsia="宋体" w:cs="宋体"/>
          <w:color w:val="000000"/>
          <w:sz w:val="24"/>
        </w:rPr>
        <w:t>投标文件含有采购人不能接受的附加条件的。</w:t>
      </w:r>
    </w:p>
    <w:p>
      <w:pPr>
        <w:adjustRightInd w:val="0"/>
        <w:snapToGrid w:val="0"/>
        <w:spacing w:line="480" w:lineRule="exact"/>
        <w:ind w:firstLine="422" w:firstLineChars="176"/>
        <w:rPr>
          <w:rFonts w:hint="eastAsia" w:ascii="宋体" w:hAnsi="宋体" w:eastAsia="宋体" w:cs="宋体"/>
          <w:color w:val="000000"/>
          <w:sz w:val="24"/>
          <w:lang w:eastAsia="zh-CN"/>
        </w:rPr>
      </w:pPr>
      <w:r>
        <w:rPr>
          <w:rFonts w:hint="eastAsia" w:ascii="宋体" w:hAnsi="宋体" w:eastAsia="宋体" w:cs="宋体"/>
          <w:sz w:val="24"/>
        </w:rPr>
        <w:t>27.</w:t>
      </w:r>
      <w:r>
        <w:rPr>
          <w:rFonts w:hint="eastAsia" w:ascii="宋体" w:hAnsi="宋体" w:eastAsia="宋体" w:cs="宋体"/>
          <w:color w:val="000000"/>
          <w:sz w:val="24"/>
        </w:rPr>
        <w:t>4.14</w:t>
      </w:r>
      <w:r>
        <w:rPr>
          <w:rFonts w:hint="eastAsia" w:ascii="宋体" w:hAnsi="宋体" w:eastAsia="宋体" w:cs="宋体"/>
          <w:sz w:val="24"/>
        </w:rPr>
        <w:t>供应商串通投标</w:t>
      </w:r>
      <w:r>
        <w:rPr>
          <w:rFonts w:hint="eastAsia" w:ascii="宋体" w:hAnsi="宋体" w:eastAsia="宋体" w:cs="宋体"/>
          <w:sz w:val="24"/>
          <w:lang w:eastAsia="zh-CN"/>
        </w:rPr>
        <w:t>。</w:t>
      </w:r>
    </w:p>
    <w:p>
      <w:pPr>
        <w:adjustRightInd w:val="0"/>
        <w:snapToGrid w:val="0"/>
        <w:spacing w:line="480" w:lineRule="exact"/>
        <w:ind w:firstLine="424" w:firstLineChars="176"/>
        <w:rPr>
          <w:rFonts w:hint="eastAsia" w:ascii="宋体" w:hAnsi="宋体" w:eastAsia="宋体" w:cs="宋体"/>
          <w:b/>
          <w:sz w:val="24"/>
          <w:u w:val="double"/>
        </w:rPr>
      </w:pPr>
      <w:r>
        <w:rPr>
          <w:rFonts w:hint="eastAsia" w:ascii="宋体" w:hAnsi="宋体" w:eastAsia="宋体" w:cs="宋体"/>
          <w:b/>
          <w:sz w:val="24"/>
          <w:u w:val="double"/>
        </w:rPr>
        <w:t>27.5有下列情形之一的，视为串通投标，作废标处理：</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（1）不同供应商的投标文件由同一单位或者个人编制；</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（2）不同供应商委托同一单位或者个人办理投标事宜；</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（3）不同供应商的投标文件载明的项目管理成员为同一人；</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（4）不同供应商的投标文件异常一致或者投标报价呈规律性差异；</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（5）不同供应商的投标文件相互混装；</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（6）不同供应商的投标文件由同一台电脑或同一电子签名认证证书编制或上传的；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27.6法律、法规规定的其它情况。</w:t>
      </w:r>
    </w:p>
    <w:p>
      <w:pPr>
        <w:adjustRightInd w:val="0"/>
        <w:snapToGrid w:val="0"/>
        <w:spacing w:line="480" w:lineRule="exact"/>
        <w:ind w:firstLine="424" w:firstLineChars="176"/>
        <w:rPr>
          <w:rFonts w:hint="eastAsia" w:ascii="宋体" w:hAnsi="宋体" w:eastAsia="宋体" w:cs="宋体"/>
          <w:b/>
          <w:sz w:val="24"/>
          <w:u w:val="double"/>
        </w:rPr>
      </w:pPr>
      <w:r>
        <w:rPr>
          <w:rFonts w:hint="eastAsia" w:ascii="宋体" w:hAnsi="宋体" w:eastAsia="宋体" w:cs="宋体"/>
          <w:b/>
          <w:sz w:val="24"/>
          <w:u w:val="double"/>
        </w:rPr>
        <w:t>27.7在技术评议时，如发现下列情况之一的，评标委员会有权利拒绝该供应商的投标或做废标处理：</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color w:val="000000"/>
          <w:sz w:val="24"/>
        </w:rPr>
        <w:t>27.7.1投标文件技术规格中参数重大偏离的。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color w:val="000000"/>
          <w:sz w:val="24"/>
        </w:rPr>
        <w:t>27.</w:t>
      </w:r>
      <w:r>
        <w:rPr>
          <w:rFonts w:hint="eastAsia" w:ascii="宋体" w:hAnsi="宋体" w:eastAsia="宋体" w:cs="宋体"/>
          <w:sz w:val="24"/>
        </w:rPr>
        <w:t>7.2投标文件技术规格中的投标与事实不符或虚假投标的。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color w:val="000000"/>
          <w:sz w:val="24"/>
        </w:rPr>
        <w:t>27.</w:t>
      </w:r>
      <w:r>
        <w:rPr>
          <w:rFonts w:hint="eastAsia" w:ascii="宋体" w:hAnsi="宋体" w:eastAsia="宋体" w:cs="宋体"/>
          <w:sz w:val="24"/>
        </w:rPr>
        <w:t>7.3供应商复制招标文件的技术规格相关部分内容作为其投标文件的一部分，而没真实描述投标产品实际技术指标的（仅限货物类采购）</w:t>
      </w:r>
      <w:r>
        <w:rPr>
          <w:rFonts w:hint="eastAsia" w:ascii="宋体" w:hAnsi="宋体" w:eastAsia="宋体" w:cs="宋体"/>
          <w:b/>
          <w:sz w:val="24"/>
        </w:rPr>
        <w:t>。</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color w:val="000000"/>
          <w:sz w:val="24"/>
        </w:rPr>
        <w:t>27.</w:t>
      </w:r>
      <w:r>
        <w:rPr>
          <w:rFonts w:hint="eastAsia" w:ascii="宋体" w:hAnsi="宋体" w:eastAsia="宋体" w:cs="宋体"/>
          <w:sz w:val="24"/>
        </w:rPr>
        <w:t>7.4投标文件符合招标文件中规定废标的其它技术条款。</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color w:val="000000"/>
          <w:sz w:val="24"/>
        </w:rPr>
        <w:t>27.</w:t>
      </w:r>
      <w:r>
        <w:rPr>
          <w:rFonts w:hint="eastAsia" w:ascii="宋体" w:hAnsi="宋体" w:eastAsia="宋体" w:cs="宋体"/>
          <w:sz w:val="24"/>
        </w:rPr>
        <w:t>7.5投标文件不满足招标文件技术条款中主要参数要求或提供的主要参数无技术资料支持的。</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color w:val="000000"/>
          <w:sz w:val="24"/>
        </w:rPr>
        <w:t>27.</w:t>
      </w:r>
      <w:r>
        <w:rPr>
          <w:rFonts w:hint="eastAsia" w:ascii="宋体" w:hAnsi="宋体" w:eastAsia="宋体" w:cs="宋体"/>
          <w:sz w:val="24"/>
        </w:rPr>
        <w:t>7.6文件中要求提交的证件原件凡有弄虚作假的，一经查实其投标将做废标处理。</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27.8评标委员会将允许修正投标文件中不构成重大偏离的、微小的、非正规的、不一致的或不规则的地方，但这些修改不能影响任何供应商相应的名次排列。</w:t>
      </w:r>
    </w:p>
    <w:p>
      <w:pPr>
        <w:adjustRightInd w:val="0"/>
        <w:snapToGrid w:val="0"/>
        <w:spacing w:line="480" w:lineRule="exact"/>
        <w:ind w:firstLine="424" w:firstLineChars="176"/>
        <w:rPr>
          <w:rFonts w:hint="eastAsia" w:ascii="宋体" w:hAnsi="宋体" w:eastAsia="宋体" w:cs="宋体"/>
          <w:b/>
          <w:sz w:val="24"/>
        </w:rPr>
      </w:pPr>
      <w:r>
        <w:rPr>
          <w:rFonts w:hint="eastAsia" w:ascii="宋体" w:hAnsi="宋体" w:eastAsia="宋体" w:cs="宋体"/>
          <w:b/>
          <w:sz w:val="24"/>
        </w:rPr>
        <w:t>28.投标文件的澄清</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28.1评标期间，为有助于对投标文件的审查、评价和比较，评标委员会有权要求供应商对其投标文件进行澄清，但并非对每个供应商都做澄清要求。</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28.2接到评标委员会澄清要求的供应商应派人按评标委员会通知的时间和地点做出书面澄清，书面澄清的内容须由供应商法定代表人或授权代表签署，并作为投标文件的组成部分，但投标的实质性内容不得做任何更改。</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28.3接到评标委员会澄清要求的供应商如未按本须知第28.2）款的规定做出澄清，其风险由供应商自行承担。</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28.4供应商对澄清的答复以书面材料为准，但不得对投标内容进行实质性修改，供应商澄清和答复的内容构成投标文件的组成部分。</w:t>
      </w:r>
    </w:p>
    <w:p>
      <w:pPr>
        <w:adjustRightInd w:val="0"/>
        <w:snapToGrid w:val="0"/>
        <w:spacing w:line="480" w:lineRule="exact"/>
        <w:ind w:firstLine="424" w:firstLineChars="176"/>
        <w:rPr>
          <w:rFonts w:hint="eastAsia" w:ascii="宋体" w:hAnsi="宋体" w:eastAsia="宋体" w:cs="宋体"/>
          <w:b/>
          <w:sz w:val="24"/>
        </w:rPr>
      </w:pPr>
      <w:r>
        <w:rPr>
          <w:rFonts w:hint="eastAsia" w:ascii="宋体" w:hAnsi="宋体" w:eastAsia="宋体" w:cs="宋体"/>
          <w:b/>
          <w:sz w:val="24"/>
        </w:rPr>
        <w:t>29.评标原则</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“公平、公正、择优、效益”为本次评标的基本原则，评标委员会按照这一原则的要求，公正、平等地对待各供应商。同时，在评标过程中恪守以下原则：</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1）客观性原则：评标委员会将严格按照采购文件要求的内容，对供应商的投标文件进行认真评审；评标委员会对投标文件的评审仅依据投标文件本身，而不依靠投标文件以外的任何因素。</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2）统一性原则：评标委员会将按照统一的原则和方法，对各供应商的投标文件进行评审。</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3）独立性原则：评审工作在评标委员会内部独立进行，不受外界任何因素的干扰和影响，评标委员会成员对出具的专家意见承担个人责任。</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4）保密性原则：评标委员会成员及有关工作人员将保守供应商的商业秘密。</w:t>
      </w:r>
    </w:p>
    <w:p>
      <w:pPr>
        <w:adjustRightInd w:val="0"/>
        <w:snapToGrid w:val="0"/>
        <w:spacing w:line="480" w:lineRule="exact"/>
        <w:ind w:firstLine="422" w:firstLineChars="176"/>
        <w:rPr>
          <w:rFonts w:hint="eastAsia" w:ascii="宋体" w:hAnsi="宋体" w:eastAsia="宋体" w:cs="宋体"/>
          <w:sz w:val="24"/>
        </w:rPr>
      </w:pPr>
      <w:r>
        <w:rPr>
          <w:rFonts w:hint="eastAsia" w:ascii="宋体" w:hAnsi="宋体" w:eastAsia="宋体" w:cs="宋体"/>
          <w:sz w:val="24"/>
        </w:rPr>
        <w:t>5）综合性原则：评标委员会将综合分析评审供应商的各项指标，而不以单项指标的优劣评定出中标人。</w:t>
      </w:r>
    </w:p>
    <w:p>
      <w:pPr>
        <w:topLinePunct/>
        <w:adjustRightInd w:val="0"/>
        <w:snapToGrid w:val="0"/>
        <w:spacing w:line="480" w:lineRule="exact"/>
        <w:ind w:firstLine="482" w:firstLineChars="200"/>
        <w:rPr>
          <w:rFonts w:hint="eastAsia" w:ascii="宋体" w:hAnsi="宋体" w:eastAsia="宋体" w:cs="宋体"/>
          <w:b/>
          <w:sz w:val="24"/>
        </w:rPr>
      </w:pPr>
      <w:r>
        <w:rPr>
          <w:rFonts w:hint="eastAsia" w:ascii="宋体" w:hAnsi="宋体" w:eastAsia="宋体" w:cs="宋体"/>
          <w:b/>
          <w:sz w:val="24"/>
        </w:rPr>
        <w:t>30.投标文件的评价和比较</w:t>
      </w:r>
    </w:p>
    <w:p>
      <w:pPr>
        <w:adjustRightInd w:val="0"/>
        <w:snapToGrid w:val="0"/>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1）评标委员会将按照本须知第27条的规定，仅对初审合格的投标文件按招标文件中规定的评标方法、标准进行评价和比较。</w:t>
      </w:r>
    </w:p>
    <w:p>
      <w:pPr>
        <w:adjustRightInd w:val="0"/>
        <w:snapToGrid w:val="0"/>
        <w:spacing w:line="480" w:lineRule="exact"/>
        <w:ind w:firstLine="482" w:firstLineChars="200"/>
        <w:rPr>
          <w:rFonts w:hint="eastAsia" w:ascii="宋体" w:hAnsi="宋体" w:eastAsia="宋体" w:cs="宋体"/>
          <w:b/>
          <w:sz w:val="24"/>
        </w:rPr>
      </w:pPr>
      <w:r>
        <w:rPr>
          <w:rFonts w:hint="eastAsia" w:ascii="宋体" w:hAnsi="宋体" w:eastAsia="宋体" w:cs="宋体"/>
          <w:b/>
          <w:sz w:val="24"/>
        </w:rPr>
        <w:t>2）评定的标准和方法</w:t>
      </w:r>
    </w:p>
    <w:p>
      <w:pPr>
        <w:adjustRightInd w:val="0"/>
        <w:snapToGrid w:val="0"/>
        <w:spacing w:line="480" w:lineRule="exact"/>
        <w:ind w:firstLine="480" w:firstLineChars="200"/>
        <w:rPr>
          <w:rFonts w:hint="eastAsia" w:ascii="宋体" w:hAnsi="宋体" w:eastAsia="宋体" w:cs="宋体"/>
          <w:b/>
          <w:sz w:val="24"/>
          <w:u w:val="double"/>
        </w:rPr>
      </w:pPr>
      <w:r>
        <w:rPr>
          <w:rFonts w:hint="eastAsia" w:ascii="宋体" w:hAnsi="宋体" w:eastAsia="宋体" w:cs="宋体"/>
          <w:sz w:val="24"/>
        </w:rPr>
        <w:t xml:space="preserve">a) </w:t>
      </w:r>
      <w:r>
        <w:rPr>
          <w:rFonts w:hint="eastAsia" w:ascii="宋体" w:hAnsi="宋体" w:eastAsia="宋体" w:cs="宋体"/>
          <w:b/>
          <w:sz w:val="24"/>
          <w:u w:val="double"/>
        </w:rPr>
        <w:t>本次评标的标准和方法采用综合评分</w:t>
      </w:r>
      <w:r>
        <w:rPr>
          <w:rFonts w:hint="eastAsia" w:ascii="宋体" w:hAnsi="宋体" w:eastAsia="宋体" w:cs="宋体"/>
          <w:b/>
          <w:bCs/>
          <w:sz w:val="24"/>
          <w:u w:val="double"/>
        </w:rPr>
        <w:t>法</w:t>
      </w:r>
      <w:r>
        <w:rPr>
          <w:rFonts w:hint="eastAsia" w:ascii="宋体" w:hAnsi="宋体" w:eastAsia="宋体" w:cs="宋体"/>
          <w:b/>
          <w:sz w:val="24"/>
          <w:u w:val="double"/>
        </w:rPr>
        <w:t>。</w:t>
      </w:r>
      <w:r>
        <w:rPr>
          <w:rFonts w:hint="eastAsia" w:ascii="宋体" w:hAnsi="宋体" w:eastAsia="宋体" w:cs="宋体"/>
          <w:sz w:val="24"/>
        </w:rPr>
        <w:t>评标委员会成员综合评定各供应商提交的投标文件，在满足招标文件所要求的全部实质性要求的前提下，</w:t>
      </w:r>
      <w:r>
        <w:rPr>
          <w:rFonts w:hint="eastAsia" w:ascii="宋体" w:hAnsi="宋体" w:eastAsia="宋体" w:cs="宋体"/>
          <w:b/>
          <w:sz w:val="24"/>
          <w:u w:val="double"/>
        </w:rPr>
        <w:t>按照招标文件中规定的各项因素进行综合评审后，以评标总得分由高到低进行排序，总得分相同的报价低者优先。如果得分、投标报价、技术都相同的，由评标委员会采用无记名投票的方式决定排名</w:t>
      </w:r>
    </w:p>
    <w:p>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b)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c)非单一产品采购项目，采购人应当根据采购项目技术构成、产品价格比重等合理确定核心产品，并在招标文件中载明。多家投标人提供的核心产品品牌相同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480" w:lineRule="exact"/>
        <w:ind w:firstLine="482" w:firstLineChars="200"/>
        <w:rPr>
          <w:rFonts w:hint="eastAsia" w:ascii="宋体" w:hAnsi="宋体" w:eastAsia="宋体" w:cs="宋体"/>
          <w:b/>
          <w:sz w:val="24"/>
          <w:u w:val="double"/>
        </w:rPr>
      </w:pPr>
      <w:r>
        <w:rPr>
          <w:rFonts w:hint="eastAsia" w:ascii="宋体" w:hAnsi="宋体" w:eastAsia="宋体" w:cs="宋体"/>
          <w:b/>
          <w:sz w:val="24"/>
          <w:u w:val="double"/>
        </w:rPr>
        <w:t>d) 采购人根据评标委员会提出的书面评标报告和推荐的中标候选人排序情况，确定成交供应商，根据采购人委托提供相应的服务</w:t>
      </w:r>
      <w:r>
        <w:rPr>
          <w:rFonts w:hint="eastAsia" w:ascii="宋体" w:hAnsi="宋体" w:eastAsia="宋体" w:cs="宋体"/>
          <w:b/>
          <w:color w:val="000000"/>
          <w:sz w:val="24"/>
          <w:u w:val="double"/>
        </w:rPr>
        <w:t>。</w:t>
      </w:r>
      <w:r>
        <w:rPr>
          <w:rFonts w:hint="eastAsia" w:ascii="宋体" w:hAnsi="宋体" w:eastAsia="宋体" w:cs="宋体"/>
          <w:b/>
          <w:sz w:val="24"/>
          <w:u w:val="double"/>
        </w:rPr>
        <w:t>同时将中标结果通知所有参加投标的供应商，只宣布结果，不解释未中标原因。</w:t>
      </w:r>
    </w:p>
    <w:p>
      <w:pPr>
        <w:adjustRightInd w:val="0"/>
        <w:snapToGrid w:val="0"/>
        <w:spacing w:line="480" w:lineRule="exact"/>
        <w:ind w:firstLine="482" w:firstLineChars="200"/>
        <w:rPr>
          <w:rFonts w:hint="eastAsia" w:ascii="宋体" w:hAnsi="宋体" w:eastAsia="宋体" w:cs="宋体"/>
          <w:b/>
          <w:sz w:val="24"/>
          <w:u w:val="double"/>
        </w:rPr>
      </w:pPr>
      <w:r>
        <w:rPr>
          <w:rFonts w:hint="eastAsia" w:ascii="宋体" w:hAnsi="宋体" w:eastAsia="宋体" w:cs="宋体"/>
          <w:b/>
          <w:sz w:val="24"/>
          <w:u w:val="double"/>
        </w:rPr>
        <w:t>e) 根据推荐的中标候选人排序情况确定排名第一的供应商成交供应商。</w:t>
      </w:r>
    </w:p>
    <w:p>
      <w:pPr>
        <w:pStyle w:val="2"/>
        <w:rPr>
          <w:rFonts w:hint="eastAsia"/>
        </w:rPr>
      </w:pPr>
    </w:p>
    <w:p>
      <w:pPr>
        <w:adjustRightInd w:val="0"/>
        <w:snapToGrid w:val="0"/>
        <w:spacing w:line="480" w:lineRule="exact"/>
        <w:rPr>
          <w:rFonts w:hint="eastAsia" w:ascii="宋体" w:hAnsi="宋体" w:eastAsia="宋体" w:cs="宋体"/>
          <w:b/>
          <w:sz w:val="24"/>
        </w:rPr>
      </w:pPr>
      <w:r>
        <w:rPr>
          <w:rFonts w:hint="eastAsia" w:ascii="宋体" w:hAnsi="宋体" w:cs="宋体"/>
          <w:b/>
          <w:sz w:val="24"/>
          <w:lang w:val="en-US" w:eastAsia="zh-CN"/>
        </w:rPr>
        <w:t>3）</w:t>
      </w:r>
      <w:r>
        <w:rPr>
          <w:rFonts w:hint="eastAsia" w:ascii="宋体" w:hAnsi="宋体" w:eastAsia="宋体" w:cs="宋体"/>
          <w:b/>
          <w:sz w:val="24"/>
        </w:rPr>
        <w:t>相关政策及措施</w:t>
      </w:r>
    </w:p>
    <w:p>
      <w:pPr>
        <w:adjustRightInd w:val="0"/>
        <w:snapToGrid w:val="0"/>
        <w:spacing w:line="480" w:lineRule="exact"/>
        <w:ind w:left="280" w:firstLine="240" w:firstLineChars="100"/>
        <w:rPr>
          <w:rFonts w:ascii="宋体" w:hAnsi="宋体"/>
          <w:sz w:val="24"/>
        </w:rPr>
      </w:pPr>
      <w:r>
        <w:rPr>
          <w:rFonts w:hint="eastAsia" w:ascii="宋体" w:hAnsi="宋体"/>
          <w:sz w:val="24"/>
        </w:rPr>
        <w:t>（1）根据《政府采购促进中小企业发展管理办法》（财库[2020]46号）文件规定，对小型和微型企业产品的价格给予3%的扣除,用扣除后的价格参与评审：</w:t>
      </w:r>
    </w:p>
    <w:p>
      <w:pPr>
        <w:adjustRightInd w:val="0"/>
        <w:snapToGrid w:val="0"/>
        <w:spacing w:line="480" w:lineRule="exact"/>
        <w:rPr>
          <w:rFonts w:ascii="宋体" w:hAnsi="宋体"/>
          <w:sz w:val="24"/>
        </w:rPr>
      </w:pPr>
      <w:r>
        <w:rPr>
          <w:rFonts w:hint="eastAsia" w:ascii="宋体" w:hAnsi="宋体"/>
          <w:sz w:val="24"/>
        </w:rPr>
        <w:t xml:space="preserve">       小型和微型企业产品价格扣除=（小型、微型企业产品报价）×3%；</w:t>
      </w:r>
    </w:p>
    <w:p>
      <w:pPr>
        <w:adjustRightInd w:val="0"/>
        <w:snapToGrid w:val="0"/>
        <w:spacing w:line="480" w:lineRule="exact"/>
        <w:rPr>
          <w:rFonts w:hint="eastAsia" w:ascii="宋体" w:hAnsi="宋体"/>
          <w:sz w:val="24"/>
        </w:rPr>
      </w:pPr>
      <w:r>
        <w:rPr>
          <w:rFonts w:hint="eastAsia" w:ascii="宋体" w:hAnsi="宋体"/>
          <w:sz w:val="24"/>
        </w:rPr>
        <w:t xml:space="preserve">       小型和微型企业评审价格=总报价—小型、微型企业产品价格扣除。</w:t>
      </w:r>
    </w:p>
    <w:p>
      <w:pPr>
        <w:pStyle w:val="84"/>
        <w:rPr>
          <w:rFonts w:hint="eastAsia"/>
        </w:rPr>
      </w:pPr>
    </w:p>
    <w:p>
      <w:pPr>
        <w:pStyle w:val="84"/>
        <w:ind w:firstLine="470" w:firstLineChars="200"/>
        <w:rPr>
          <w:lang w:val="en-US" w:eastAsia="zh-CN"/>
        </w:rPr>
      </w:pPr>
      <w:r>
        <w:rPr>
          <w:rFonts w:hint="eastAsia" w:ascii="宋体" w:hAnsi="宋体"/>
          <w:b/>
          <w:bCs/>
          <w:lang w:val="en-US" w:eastAsia="zh-CN"/>
        </w:rPr>
        <w:t>注：供应商须提供中小企业声明函，并上传至电子系统中，否则不给予价格扣除。</w:t>
      </w:r>
    </w:p>
    <w:p>
      <w:pPr>
        <w:topLinePunct/>
        <w:spacing w:line="480" w:lineRule="exact"/>
        <w:ind w:firstLine="499"/>
        <w:rPr>
          <w:rFonts w:ascii="宋体" w:hAnsi="宋体"/>
          <w:sz w:val="24"/>
        </w:rPr>
      </w:pPr>
      <w:r>
        <w:rPr>
          <w:rFonts w:hint="eastAsia" w:ascii="宋体" w:hAnsi="宋体"/>
          <w:sz w:val="24"/>
        </w:rPr>
        <w:t>注：1、小型、微型企业应当同时符合以下条件：（一）符合小型、微型企业划分标准；（二）提供本企业制造的货物，或者提供其他小型、微型企业制造的货物。本项所称货物不包括使用大型企业注册商标的货物。小型、微型企业提供中型企业制造的货物的，视同为中型企业；2、参加政府采购活动的小型和微型企业应当提供《中小企业声明函》（见附件），并对声明函的真实性负责；3、提供其他小型、微型企业制造商的货物，则应当同时提供其《中小企业声明函》；4、供应商提供的《中小企业声明函》与事实不符的，依照《中华人民共和国政府采购法》第七十七条第一款的规定追究法律责任。</w:t>
      </w:r>
    </w:p>
    <w:p>
      <w:pPr>
        <w:topLinePunct/>
        <w:spacing w:line="480" w:lineRule="exact"/>
        <w:rPr>
          <w:rFonts w:ascii="宋体" w:hAnsi="宋体" w:cs="宋体"/>
          <w:sz w:val="24"/>
        </w:rPr>
      </w:pPr>
      <w:r>
        <w:rPr>
          <w:rFonts w:hint="eastAsia" w:ascii="宋体" w:hAnsi="宋体"/>
          <w:sz w:val="24"/>
        </w:rPr>
        <w:t>（2）根据《财政部、司法部关于政府采购支持</w:t>
      </w:r>
      <w:r>
        <w:rPr>
          <w:rFonts w:hint="eastAsia" w:ascii="宋体" w:hAnsi="宋体" w:cs="宋体"/>
          <w:sz w:val="24"/>
        </w:rPr>
        <w:t>监狱企业发展有关问题的通知》（财库[2014]68号）文件规定，监狱企业视同小型、微型企业，享受预留份额、评审中价格扣除等政府采购促进中小企业发展的政府采购政策。</w:t>
      </w:r>
    </w:p>
    <w:p>
      <w:pPr>
        <w:topLinePunct/>
        <w:spacing w:line="480" w:lineRule="exact"/>
        <w:ind w:firstLine="500"/>
        <w:rPr>
          <w:rFonts w:ascii="宋体" w:hAnsi="宋体" w:cs="宋体"/>
          <w:b/>
          <w:bCs/>
          <w:sz w:val="24"/>
        </w:rPr>
      </w:pPr>
      <w:r>
        <w:rPr>
          <w:rFonts w:hint="eastAsia" w:ascii="宋体" w:hAnsi="宋体" w:cs="宋体"/>
          <w:b/>
          <w:bCs/>
          <w:sz w:val="24"/>
        </w:rPr>
        <w:t>注：1、根据山东省财政厅、山东省司法厅关于转发财政部、司法部《关于政府采购支持监狱企业发展有关问题的通知》的通知（鲁财采[2014]33号）文件规定，有制服、消防设备和特种车辆采购的在项目评审时，对其产品给予8%的价格扣除；2、监狱企业参加政府采购活动时，应当提供由省级以上监狱管理局、戒毒管理局（含新疆生产建设兵团）出具的属于监狱企业的证明文件原件，否则不给予价格扣除。</w:t>
      </w:r>
    </w:p>
    <w:p>
      <w:pPr>
        <w:topLinePunct/>
        <w:spacing w:line="480" w:lineRule="exact"/>
        <w:rPr>
          <w:rFonts w:ascii="宋体" w:hAnsi="宋体" w:cs="宋体"/>
          <w:sz w:val="24"/>
        </w:rPr>
      </w:pPr>
      <w:r>
        <w:rPr>
          <w:rFonts w:hint="eastAsia" w:ascii="宋体" w:hAnsi="宋体" w:cs="宋体"/>
          <w:sz w:val="24"/>
        </w:rPr>
        <w:t>（3）根据《财政部 民政部 中国残疾人联合会关于促进残疾人就业政府采购政策的通知》（财库〔2017〕141号）文件规定，残疾人福利性单位视同小型、微型企业，享受预留份额、评审中价格扣除等促进中小企业发展的政府采购政策。</w:t>
      </w:r>
    </w:p>
    <w:p>
      <w:pPr>
        <w:topLinePunct/>
        <w:spacing w:line="480" w:lineRule="exact"/>
        <w:ind w:firstLine="500"/>
        <w:rPr>
          <w:rFonts w:ascii="宋体" w:hAnsi="宋体" w:cs="宋体"/>
          <w:b/>
          <w:bCs/>
          <w:sz w:val="24"/>
        </w:rPr>
      </w:pPr>
      <w:r>
        <w:rPr>
          <w:rFonts w:hint="eastAsia" w:ascii="宋体" w:hAnsi="宋体" w:cs="宋体"/>
          <w:b/>
          <w:bCs/>
          <w:sz w:val="24"/>
        </w:rPr>
        <w:t>注：1、残疾人福利性单位在参加政府采购活动时，应当提供《残疾人福利性单位声明函》（见附件），否则不给予价格扣除；2、残疾人福利性单位属于小型、微型企业的，不重复享受政策；3、中标供应商为残疾人福利性单位的，采购人或者其委托的采购代理机构应当随中标结果同时公告其《残疾人福利性单位声明函》，接受社会监督。供应商提供的《残疾人福利性单位声明函》与事实不符的，依照《中华人民共和国政府采购法》第七十七条第一款的规定追究法律责任。</w:t>
      </w:r>
    </w:p>
    <w:p>
      <w:pPr>
        <w:widowControl/>
        <w:tabs>
          <w:tab w:val="left" w:pos="1440"/>
        </w:tabs>
        <w:spacing w:line="480" w:lineRule="exact"/>
        <w:ind w:firstLine="480" w:firstLineChars="200"/>
        <w:rPr>
          <w:rFonts w:ascii="宋体" w:hAnsi="宋体" w:cs="宋体"/>
          <w:sz w:val="24"/>
        </w:rPr>
      </w:pPr>
      <w:r>
        <w:rPr>
          <w:rFonts w:hint="eastAsia" w:ascii="宋体" w:hAnsi="宋体" w:cs="宋体"/>
          <w:sz w:val="24"/>
        </w:rPr>
        <w:t>（4）根据《节能产品政府采购实施意见》（财库[2004]185号）、《关于环境标志产品政府采购实施的意见》（财库[2006]90号）、《财政部 发展改革委 生态环境部 市场监管总局关于调整优化节能产品、环境标志产品政府采购执行机制的通知》（财库[2020]9号）、《财政部 生态环境部关于印发环境标志产品政府采购品目清单的通知》（财库[2020]18号）、《财政部发展改革委关于印发节能产品政府采购品目清单的通知》（财库[2020]19号）文件规定，政府采购属于节能清单中产品时，在技术、服务等指标同等条件下，应当优先采购节能清单所列的节能产品。采购人采购的产品属于环境标志产品政府采购清单中品目的，在性能、技术、服务等指标同等条件下，应当优先采购环境标志产品政府采购清单中的产品。对于同时列入环保清单和节能产品政府采购清单的产品，应当优先于只列入其中一个清单的产品。</w:t>
      </w:r>
    </w:p>
    <w:p>
      <w:pPr>
        <w:widowControl/>
        <w:tabs>
          <w:tab w:val="left" w:pos="1440"/>
        </w:tabs>
        <w:spacing w:line="480" w:lineRule="exact"/>
        <w:rPr>
          <w:rFonts w:ascii="宋体" w:hAnsi="宋体" w:cs="宋体"/>
          <w:sz w:val="24"/>
        </w:rPr>
      </w:pPr>
      <w:r>
        <w:rPr>
          <w:rFonts w:hint="eastAsia" w:ascii="宋体" w:hAnsi="宋体" w:cs="宋体"/>
          <w:sz w:val="24"/>
        </w:rPr>
        <w:t xml:space="preserve">   （5）根据《财政部 发展改革委关于印发节能产品政府采购品目清单的通知》（财库[2020]19号）文件规定，节能清单所列产品包括政府强制采购和优先采购的节能产品。其中，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其他品目为政府优先采购的节能产品。</w:t>
      </w:r>
    </w:p>
    <w:p>
      <w:pPr>
        <w:widowControl/>
        <w:tabs>
          <w:tab w:val="left" w:pos="1440"/>
        </w:tabs>
        <w:spacing w:line="480" w:lineRule="exact"/>
        <w:ind w:firstLine="480" w:firstLineChars="200"/>
        <w:rPr>
          <w:rFonts w:ascii="宋体" w:hAnsi="宋体" w:cs="宋体"/>
          <w:sz w:val="24"/>
        </w:rPr>
      </w:pPr>
      <w:r>
        <w:rPr>
          <w:rFonts w:hint="eastAsia" w:ascii="宋体" w:hAnsi="宋体" w:cs="宋体"/>
          <w:sz w:val="24"/>
        </w:rPr>
        <w:t>（6）根据《山东省节能环保产品政府采购评审办法》（鲁财库[2007]32号）文件规定，对节能、环保产品评审时加分：</w:t>
      </w:r>
    </w:p>
    <w:p>
      <w:pPr>
        <w:widowControl/>
        <w:tabs>
          <w:tab w:val="left" w:pos="1440"/>
        </w:tabs>
        <w:spacing w:line="480" w:lineRule="exact"/>
        <w:ind w:firstLine="480" w:firstLineChars="200"/>
        <w:rPr>
          <w:rFonts w:ascii="宋体" w:hAnsi="宋体" w:cs="宋体"/>
          <w:sz w:val="24"/>
        </w:rPr>
      </w:pPr>
      <w:r>
        <w:rPr>
          <w:rFonts w:hint="eastAsia" w:ascii="宋体" w:hAnsi="宋体" w:cs="宋体"/>
          <w:sz w:val="24"/>
        </w:rPr>
        <w:t>节能和环保产品加分=（节能和环保产品报价÷总报价）×5%×技术评标总分值+（节能和环保产品报价÷总报价）×5%×价格评标总分值。</w:t>
      </w:r>
    </w:p>
    <w:p>
      <w:pPr>
        <w:widowControl/>
        <w:tabs>
          <w:tab w:val="left" w:pos="1440"/>
        </w:tabs>
        <w:spacing w:line="480" w:lineRule="exact"/>
        <w:rPr>
          <w:rFonts w:ascii="宋体" w:hAnsi="宋体" w:cs="宋体"/>
          <w:sz w:val="24"/>
        </w:rPr>
      </w:pPr>
      <w:r>
        <w:rPr>
          <w:rFonts w:hint="eastAsia" w:ascii="宋体" w:hAnsi="宋体" w:cs="宋体"/>
          <w:sz w:val="24"/>
        </w:rPr>
        <w:t>其中节能产品报价中不含强制性节能产品的报价。</w:t>
      </w:r>
    </w:p>
    <w:p>
      <w:pPr>
        <w:widowControl/>
        <w:tabs>
          <w:tab w:val="left" w:pos="1440"/>
        </w:tabs>
        <w:spacing w:line="480" w:lineRule="exact"/>
        <w:rPr>
          <w:rFonts w:ascii="宋体" w:hAnsi="宋体" w:cs="宋体"/>
          <w:sz w:val="24"/>
        </w:rPr>
      </w:pPr>
      <w:r>
        <w:rPr>
          <w:rFonts w:hint="eastAsia" w:ascii="宋体" w:hAnsi="宋体" w:cs="宋体"/>
          <w:sz w:val="24"/>
        </w:rPr>
        <w:t>得分=评委综合打分+对节能和环保产品加分。</w:t>
      </w:r>
    </w:p>
    <w:p>
      <w:pPr>
        <w:pStyle w:val="31"/>
        <w:spacing w:line="480" w:lineRule="exact"/>
        <w:ind w:left="0" w:leftChars="0" w:firstLine="482"/>
        <w:rPr>
          <w:rFonts w:hint="eastAsia" w:ascii="宋体" w:hAnsi="宋体" w:cs="宋体"/>
          <w:b/>
          <w:bCs/>
          <w:sz w:val="24"/>
        </w:rPr>
      </w:pPr>
      <w:r>
        <w:rPr>
          <w:rFonts w:hint="eastAsia" w:ascii="宋体" w:hAnsi="宋体" w:cs="宋体"/>
          <w:b/>
          <w:bCs/>
          <w:sz w:val="24"/>
        </w:rPr>
        <w:t>注：1、节能产品是指列入财政部、发展改革委制定的《节能产品政府采购品目清单》范围的产品；环保产品是指列入财政部、生态环境部制定的《环境标志产品政府采购品目清单》范围的产品；2、产品是否属于享受政府采购政策的上述类型，依据国家确定的认证机构出具的处于有效期之内的中国节能产品认证证书、中国环境标志产品认证证书，对获得证书的产品实施政府优先采购或强制采购。以上证书以原件扫描件为准，超过认证证书有效截止日期的自动失效。</w:t>
      </w:r>
    </w:p>
    <w:p>
      <w:pPr>
        <w:numPr>
          <w:ilvl w:val="0"/>
          <w:numId w:val="6"/>
        </w:numPr>
        <w:tabs>
          <w:tab w:val="left" w:pos="1440"/>
        </w:tabs>
        <w:spacing w:line="480" w:lineRule="exact"/>
        <w:ind w:firstLine="480" w:firstLineChars="200"/>
        <w:rPr>
          <w:rFonts w:hint="eastAsia" w:ascii="宋体" w:hAnsi="宋体" w:eastAsia="宋体" w:cs="宋体"/>
          <w:sz w:val="24"/>
        </w:rPr>
      </w:pPr>
      <w:r>
        <w:rPr>
          <w:rFonts w:hint="eastAsia" w:ascii="宋体" w:hAnsi="宋体" w:eastAsia="宋体" w:cs="宋体"/>
          <w:sz w:val="24"/>
        </w:rPr>
        <w:t>根据《临沂市人民政府办公室关于做好中小企业政府采购信用融资工作的通知》（临政发〔2010〕154号）政府采购项目中标（成交）单位可以通过政府采购信用融资。政府采购信用融资，是指以政府采购项目中标合同为依据，无需任何抵押，由专业担保公司提供担保，银行据此为中标企业提供相应额度的贷款，财政部门在企业履约后，将资金直接支付到企业在贷款银行设立的专户，用于归还贷款。</w:t>
      </w:r>
    </w:p>
    <w:p>
      <w:pPr>
        <w:pStyle w:val="2"/>
        <w:widowControl w:val="0"/>
        <w:numPr>
          <w:ilvl w:val="0"/>
          <w:numId w:val="0"/>
        </w:numPr>
        <w:spacing w:after="120"/>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topLinePunct/>
        <w:spacing w:line="460" w:lineRule="exact"/>
        <w:rPr>
          <w:rFonts w:hint="eastAsia" w:ascii="宋体" w:hAnsi="宋体" w:eastAsia="宋体" w:cs="宋体"/>
          <w:b/>
          <w:sz w:val="24"/>
        </w:rPr>
      </w:pPr>
      <w:r>
        <w:rPr>
          <w:rFonts w:hint="eastAsia" w:ascii="宋体" w:hAnsi="宋体" w:eastAsia="宋体" w:cs="宋体"/>
          <w:b/>
          <w:sz w:val="24"/>
        </w:rPr>
        <w:t>具体评标办法：</w:t>
      </w:r>
    </w:p>
    <w:p>
      <w:pPr>
        <w:topLinePunct/>
        <w:spacing w:line="480" w:lineRule="exact"/>
        <w:ind w:firstLine="480" w:firstLineChars="200"/>
        <w:rPr>
          <w:rFonts w:hint="eastAsia" w:ascii="宋体" w:hAnsi="宋体" w:eastAsia="宋体" w:cs="宋体"/>
          <w:sz w:val="24"/>
        </w:rPr>
      </w:pPr>
    </w:p>
    <w:tbl>
      <w:tblPr>
        <w:tblStyle w:val="32"/>
        <w:tblW w:w="966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556"/>
        <w:gridCol w:w="7262"/>
      </w:tblGrid>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662" w:type="dxa"/>
            <w:gridSpan w:val="3"/>
            <w:noWrap w:val="0"/>
            <w:vAlign w:val="center"/>
          </w:tcPr>
          <w:p>
            <w:pPr>
              <w:pStyle w:val="83"/>
              <w:spacing w:before="128" w:line="240" w:lineRule="auto"/>
              <w:ind w:left="2866" w:firstLine="960" w:firstLineChars="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总分：100 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525" w:hRule="atLeast"/>
          <w:jc w:val="center"/>
        </w:trPr>
        <w:tc>
          <w:tcPr>
            <w:tcW w:w="844" w:type="dxa"/>
            <w:noWrap w:val="0"/>
            <w:vAlign w:val="center"/>
          </w:tcPr>
          <w:p>
            <w:pPr>
              <w:pStyle w:val="83"/>
              <w:spacing w:line="240" w:lineRule="auto"/>
              <w:ind w:left="152" w:right="139" w:firstLine="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报价得分</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pacing w:val="-39"/>
                <w:sz w:val="24"/>
                <w:szCs w:val="24"/>
                <w:highlight w:val="none"/>
              </w:rPr>
              <w:t xml:space="preserve"> 分</w:t>
            </w:r>
            <w:r>
              <w:rPr>
                <w:rFonts w:hint="eastAsia" w:ascii="宋体" w:hAnsi="宋体" w:cs="宋体"/>
                <w:sz w:val="24"/>
                <w:szCs w:val="24"/>
                <w:highlight w:val="none"/>
                <w:lang w:eastAsia="zh-CN"/>
              </w:rPr>
              <w:t>）</w:t>
            </w:r>
          </w:p>
        </w:tc>
        <w:tc>
          <w:tcPr>
            <w:tcW w:w="1556" w:type="dxa"/>
            <w:noWrap w:val="0"/>
            <w:vAlign w:val="center"/>
          </w:tcPr>
          <w:p>
            <w:pPr>
              <w:pStyle w:val="83"/>
              <w:spacing w:line="240" w:lineRule="auto"/>
              <w:ind w:left="176"/>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商务标评审</w:t>
            </w:r>
          </w:p>
          <w:p>
            <w:pPr>
              <w:pStyle w:val="83"/>
              <w:spacing w:before="153" w:line="240" w:lineRule="auto"/>
              <w:ind w:left="26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pacing w:val="-30"/>
                <w:sz w:val="24"/>
                <w:szCs w:val="24"/>
                <w:highlight w:val="none"/>
              </w:rPr>
              <w:t>分</w:t>
            </w:r>
            <w:r>
              <w:rPr>
                <w:rFonts w:hint="eastAsia" w:ascii="宋体" w:hAnsi="宋体" w:eastAsia="宋体" w:cs="宋体"/>
                <w:sz w:val="24"/>
                <w:szCs w:val="24"/>
                <w:highlight w:val="none"/>
              </w:rPr>
              <w:t>）</w:t>
            </w:r>
          </w:p>
        </w:tc>
        <w:tc>
          <w:tcPr>
            <w:tcW w:w="7262" w:type="dxa"/>
            <w:noWrap w:val="0"/>
            <w:vAlign w:val="center"/>
          </w:tcPr>
          <w:p>
            <w:pPr>
              <w:spacing w:line="24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各报价采用低价优先法计算，即满足采购文件要求且报价最低的为评标基准价，其价格分为满分，其他的报价得分统一按下列公式进行计算：报价得分=（评标基准价/投标报价）×30</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4" w:type="dxa"/>
            <w:vMerge w:val="restart"/>
            <w:noWrap w:val="0"/>
            <w:vAlign w:val="center"/>
          </w:tcPr>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line="240" w:lineRule="auto"/>
              <w:jc w:val="center"/>
              <w:rPr>
                <w:rFonts w:hint="eastAsia" w:ascii="宋体" w:hAnsi="宋体" w:eastAsia="宋体" w:cs="宋体"/>
                <w:sz w:val="24"/>
                <w:szCs w:val="24"/>
                <w:highlight w:val="yellow"/>
              </w:rPr>
            </w:pPr>
          </w:p>
          <w:p>
            <w:pPr>
              <w:pStyle w:val="83"/>
              <w:spacing w:before="199" w:line="240" w:lineRule="auto"/>
              <w:ind w:left="152" w:right="139" w:firstLine="28"/>
              <w:jc w:val="center"/>
              <w:rPr>
                <w:rFonts w:hint="eastAsia" w:ascii="宋体" w:hAnsi="宋体" w:eastAsia="宋体" w:cs="宋体"/>
                <w:sz w:val="24"/>
                <w:szCs w:val="24"/>
                <w:highlight w:val="yellow"/>
              </w:rPr>
            </w:pPr>
            <w:r>
              <w:rPr>
                <w:rFonts w:hint="eastAsia" w:ascii="宋体" w:hAnsi="宋体" w:eastAsia="宋体" w:cs="宋体"/>
                <w:sz w:val="24"/>
                <w:szCs w:val="24"/>
                <w:highlight w:val="none"/>
              </w:rPr>
              <w:t>技术得分</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0</w:t>
            </w:r>
            <w:r>
              <w:rPr>
                <w:rFonts w:hint="eastAsia" w:ascii="宋体" w:hAnsi="宋体" w:eastAsia="宋体" w:cs="宋体"/>
                <w:spacing w:val="-39"/>
                <w:sz w:val="24"/>
                <w:szCs w:val="24"/>
                <w:highlight w:val="none"/>
              </w:rPr>
              <w:t xml:space="preserve"> 分</w:t>
            </w:r>
            <w:r>
              <w:rPr>
                <w:rFonts w:hint="eastAsia" w:ascii="宋体" w:hAnsi="宋体" w:cs="宋体"/>
                <w:sz w:val="24"/>
                <w:szCs w:val="24"/>
                <w:highlight w:val="none"/>
                <w:lang w:eastAsia="zh-CN"/>
              </w:rPr>
              <w:t>）</w:t>
            </w:r>
          </w:p>
        </w:tc>
        <w:tc>
          <w:tcPr>
            <w:tcW w:w="1556" w:type="dxa"/>
            <w:noWrap w:val="0"/>
            <w:vAlign w:val="center"/>
          </w:tcPr>
          <w:p>
            <w:pPr>
              <w:pStyle w:val="83"/>
              <w:spacing w:before="153" w:line="240" w:lineRule="auto"/>
              <w:ind w:firstLine="240" w:firstLineChars="100"/>
              <w:jc w:val="center"/>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总体概述</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pacing w:val="-30"/>
                <w:sz w:val="24"/>
                <w:szCs w:val="24"/>
                <w:highlight w:val="none"/>
              </w:rPr>
              <w:t>分</w:t>
            </w:r>
            <w:r>
              <w:rPr>
                <w:rFonts w:hint="eastAsia" w:ascii="宋体" w:hAnsi="宋体" w:eastAsia="宋体" w:cs="宋体"/>
                <w:sz w:val="24"/>
                <w:szCs w:val="24"/>
                <w:highlight w:val="none"/>
              </w:rPr>
              <w:t>）</w:t>
            </w:r>
          </w:p>
        </w:tc>
        <w:tc>
          <w:tcPr>
            <w:tcW w:w="726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总体概述：施工程序总体设想及施工阶段划分</w:t>
            </w:r>
          </w:p>
          <w:p>
            <w:pPr>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对项目总体有深刻认识，表述清晰、完整、严谨、合理、措施先进、具体、有效、成熟，采用了新技术、新工艺、新材料、新设备；满足绿色施工要求，施工段划分呼应总体表述，划分清晰、合理、符合规范要求</w:t>
            </w:r>
            <w:r>
              <w:rPr>
                <w:rFonts w:hint="eastAsia" w:ascii="宋体" w:hAnsi="宋体" w:eastAsia="宋体" w:cs="宋体"/>
                <w:color w:val="000000"/>
                <w:sz w:val="24"/>
                <w:szCs w:val="24"/>
                <w:highlight w:val="none"/>
                <w:lang w:val="en-US" w:eastAsia="zh-CN"/>
              </w:rPr>
              <w:t>的得15分</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对项目总体有一定认识，表述清晰、完整，措施具体有效；基本满足绿色施工要求，施工段划分呼应总体表述，划分清晰，符合规范要求</w:t>
            </w:r>
            <w:r>
              <w:rPr>
                <w:rFonts w:hint="eastAsia" w:ascii="宋体" w:hAnsi="宋体" w:eastAsia="宋体" w:cs="宋体"/>
                <w:color w:val="000000"/>
                <w:sz w:val="24"/>
                <w:szCs w:val="24"/>
                <w:highlight w:val="none"/>
                <w:lang w:val="en-US" w:eastAsia="zh-CN"/>
              </w:rPr>
              <w:t>的得12分</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对项目总体有认识，有一定的措施但部分不具体；基本满足绿色施工要求</w:t>
            </w:r>
            <w:r>
              <w:rPr>
                <w:rFonts w:hint="eastAsia" w:ascii="宋体" w:hAnsi="宋体" w:eastAsia="宋体" w:cs="宋体"/>
                <w:color w:val="000000"/>
                <w:sz w:val="24"/>
                <w:szCs w:val="24"/>
                <w:highlight w:val="none"/>
                <w:lang w:val="en-US" w:eastAsia="zh-CN"/>
              </w:rPr>
              <w:t>的得7分</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对项目认识不足，表述不清晰，措施不具体；不满足绿色施工要求，施工段划分不合理</w:t>
            </w:r>
            <w:r>
              <w:rPr>
                <w:rFonts w:hint="eastAsia" w:ascii="宋体" w:hAnsi="宋体" w:eastAsia="宋体" w:cs="宋体"/>
                <w:color w:val="000000"/>
                <w:sz w:val="24"/>
                <w:szCs w:val="24"/>
                <w:highlight w:val="none"/>
                <w:lang w:val="en-US" w:eastAsia="zh-CN"/>
              </w:rPr>
              <w:t>的得3分</w:t>
            </w:r>
            <w:r>
              <w:rPr>
                <w:rFonts w:hint="eastAsia" w:ascii="宋体" w:hAnsi="宋体" w:eastAsia="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239" w:hRule="atLeast"/>
          <w:jc w:val="center"/>
        </w:trPr>
        <w:tc>
          <w:tcPr>
            <w:tcW w:w="844" w:type="dxa"/>
            <w:vMerge w:val="continue"/>
            <w:noWrap w:val="0"/>
            <w:vAlign w:val="center"/>
          </w:tcPr>
          <w:p>
            <w:pPr>
              <w:spacing w:line="240" w:lineRule="auto"/>
              <w:jc w:val="center"/>
              <w:rPr>
                <w:rFonts w:hint="eastAsia" w:ascii="宋体" w:hAnsi="宋体" w:eastAsia="宋体" w:cs="宋体"/>
                <w:sz w:val="24"/>
                <w:szCs w:val="24"/>
                <w:highlight w:val="yellow"/>
              </w:rPr>
            </w:pPr>
          </w:p>
        </w:tc>
        <w:tc>
          <w:tcPr>
            <w:tcW w:w="1556" w:type="dxa"/>
            <w:noWrap w:val="0"/>
            <w:vAlign w:val="center"/>
          </w:tcPr>
          <w:p>
            <w:pPr>
              <w:pStyle w:val="83"/>
              <w:spacing w:line="240" w:lineRule="auto"/>
              <w:ind w:left="107" w:right="97" w:hanging="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施工进度计划和各阶段进度的保证措施及违约</w:t>
            </w:r>
            <w:r>
              <w:rPr>
                <w:rFonts w:hint="eastAsia" w:ascii="宋体" w:hAnsi="宋体" w:eastAsia="宋体" w:cs="宋体"/>
                <w:spacing w:val="-26"/>
                <w:sz w:val="24"/>
                <w:szCs w:val="24"/>
                <w:highlight w:val="none"/>
              </w:rPr>
              <w:t>责任承诺</w:t>
            </w:r>
            <w:r>
              <w:rPr>
                <w:rFonts w:hint="eastAsia" w:ascii="宋体" w:hAnsi="宋体" w:eastAsia="宋体" w:cs="宋体"/>
                <w:spacing w:val="-6"/>
                <w:sz w:val="24"/>
                <w:szCs w:val="24"/>
                <w:highlight w:val="none"/>
              </w:rPr>
              <w:t xml:space="preserve">（10 </w:t>
            </w:r>
            <w:r>
              <w:rPr>
                <w:rFonts w:hint="eastAsia" w:ascii="宋体" w:hAnsi="宋体" w:eastAsia="宋体" w:cs="宋体"/>
                <w:sz w:val="24"/>
                <w:szCs w:val="24"/>
                <w:highlight w:val="none"/>
              </w:rPr>
              <w:t>分）</w:t>
            </w:r>
          </w:p>
        </w:tc>
        <w:tc>
          <w:tcPr>
            <w:tcW w:w="7262" w:type="dxa"/>
            <w:noWrap w:val="0"/>
            <w:vAlign w:val="top"/>
          </w:tcPr>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关键线路清晰、准确、完整，计划编制合理、可行，关键节点的控制措施有力、合理、可行，进度违约责任承诺具体，经济赔偿最大，得 10分；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95"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关键线路清晰、准确、完整，计划编制可行，关键节点的控制措施合理，可行，进度违约责任承诺具体，经济赔偿大，得 7分；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关键线路基本准确，计划编制基本合理，关键节点的控制措施基本可行，得 4分；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关键线路不准确，计划编制不合理，关键节点的控制不可行，没有违约责任承诺，或没有该项内容的，得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909" w:hRule="atLeast"/>
          <w:jc w:val="center"/>
        </w:trPr>
        <w:tc>
          <w:tcPr>
            <w:tcW w:w="844" w:type="dxa"/>
            <w:vMerge w:val="continue"/>
            <w:noWrap w:val="0"/>
            <w:vAlign w:val="center"/>
          </w:tcPr>
          <w:p>
            <w:pPr>
              <w:spacing w:line="240" w:lineRule="auto"/>
              <w:jc w:val="center"/>
              <w:rPr>
                <w:rFonts w:hint="eastAsia" w:ascii="宋体" w:hAnsi="宋体" w:eastAsia="宋体" w:cs="宋体"/>
                <w:sz w:val="24"/>
                <w:szCs w:val="24"/>
                <w:highlight w:val="yellow"/>
              </w:rPr>
            </w:pPr>
          </w:p>
        </w:tc>
        <w:tc>
          <w:tcPr>
            <w:tcW w:w="1556" w:type="dxa"/>
            <w:noWrap w:val="0"/>
            <w:vAlign w:val="center"/>
          </w:tcPr>
          <w:p>
            <w:pPr>
              <w:pStyle w:val="83"/>
              <w:spacing w:line="240" w:lineRule="auto"/>
              <w:ind w:left="176" w:leftChars="0" w:right="167" w:rightChars="0"/>
              <w:jc w:val="center"/>
              <w:rPr>
                <w:rFonts w:hint="eastAsia" w:ascii="宋体" w:hAnsi="宋体" w:eastAsia="宋体" w:cs="宋体"/>
                <w:sz w:val="24"/>
                <w:szCs w:val="24"/>
                <w:highlight w:val="none"/>
              </w:rPr>
            </w:pPr>
            <w:r>
              <w:rPr>
                <w:sz w:val="24"/>
                <w:highlight w:val="none"/>
              </w:rPr>
              <w:t>劳动力和材料投入计划及其保证措施（5 分）</w:t>
            </w:r>
          </w:p>
        </w:tc>
        <w:tc>
          <w:tcPr>
            <w:tcW w:w="7262" w:type="dxa"/>
            <w:noWrap w:val="0"/>
            <w:vAlign w:val="top"/>
          </w:tcPr>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sz w:val="24"/>
                <w:highlight w:val="none"/>
              </w:rPr>
            </w:pPr>
            <w:r>
              <w:rPr>
                <w:rFonts w:hint="eastAsia"/>
                <w:sz w:val="24"/>
                <w:highlight w:val="none"/>
                <w:lang w:val="en-US" w:eastAsia="zh-CN"/>
              </w:rPr>
              <w:t>1、</w:t>
            </w:r>
            <w:r>
              <w:rPr>
                <w:sz w:val="24"/>
                <w:highlight w:val="none"/>
              </w:rPr>
              <w:t>投入计划与进度计划呼应，较好满足施工需要，调配投入计划</w:t>
            </w:r>
            <w:r>
              <w:rPr>
                <w:spacing w:val="-8"/>
                <w:sz w:val="24"/>
                <w:highlight w:val="none"/>
              </w:rPr>
              <w:t xml:space="preserve">合理、准确，得 </w:t>
            </w:r>
            <w:r>
              <w:rPr>
                <w:sz w:val="24"/>
                <w:highlight w:val="none"/>
              </w:rPr>
              <w:t>5</w:t>
            </w:r>
            <w:r>
              <w:rPr>
                <w:spacing w:val="-20"/>
                <w:sz w:val="24"/>
                <w:highlight w:val="none"/>
              </w:rPr>
              <w:t xml:space="preserve"> 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sz w:val="24"/>
                <w:highlight w:val="none"/>
              </w:rPr>
            </w:pPr>
            <w:r>
              <w:rPr>
                <w:rFonts w:hint="eastAsia"/>
                <w:sz w:val="24"/>
                <w:highlight w:val="none"/>
                <w:lang w:val="en-US" w:eastAsia="zh-CN"/>
              </w:rPr>
              <w:t>2、</w:t>
            </w:r>
            <w:r>
              <w:rPr>
                <w:sz w:val="24"/>
                <w:highlight w:val="none"/>
              </w:rPr>
              <w:t>投入计划与进度计划呼应，满足施工需要，调配投入计划基本</w:t>
            </w:r>
            <w:r>
              <w:rPr>
                <w:spacing w:val="-8"/>
                <w:sz w:val="24"/>
                <w:highlight w:val="none"/>
              </w:rPr>
              <w:t xml:space="preserve">合理、准确，得 </w:t>
            </w:r>
            <w:r>
              <w:rPr>
                <w:sz w:val="24"/>
                <w:highlight w:val="none"/>
              </w:rPr>
              <w:t>3</w:t>
            </w:r>
            <w:r>
              <w:rPr>
                <w:spacing w:val="-20"/>
                <w:sz w:val="24"/>
                <w:highlight w:val="none"/>
              </w:rPr>
              <w:t xml:space="preserve"> 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sz w:val="24"/>
                <w:highlight w:val="none"/>
              </w:rPr>
            </w:pPr>
            <w:r>
              <w:rPr>
                <w:rFonts w:hint="eastAsia"/>
                <w:sz w:val="24"/>
                <w:highlight w:val="none"/>
                <w:lang w:val="en-US" w:eastAsia="zh-CN"/>
              </w:rPr>
              <w:t>3、</w:t>
            </w:r>
            <w:r>
              <w:rPr>
                <w:sz w:val="24"/>
                <w:highlight w:val="none"/>
              </w:rPr>
              <w:t>投入计划与进度计划呼应，基本满足施工需要，调配投入计划基本合理，得 1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sz w:val="24"/>
                <w:highlight w:val="none"/>
                <w:lang w:val="en-US" w:eastAsia="zh-CN"/>
              </w:rPr>
              <w:t>4、</w:t>
            </w:r>
            <w:r>
              <w:rPr>
                <w:sz w:val="24"/>
                <w:highlight w:val="none"/>
              </w:rPr>
              <w:t>投入计划与进度计划不呼应，不能满足施工需要，或没有该项内容的，得 0 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689" w:hRule="atLeast"/>
          <w:jc w:val="center"/>
        </w:trPr>
        <w:tc>
          <w:tcPr>
            <w:tcW w:w="844" w:type="dxa"/>
            <w:vMerge w:val="continue"/>
            <w:noWrap w:val="0"/>
            <w:vAlign w:val="center"/>
          </w:tcPr>
          <w:p>
            <w:pPr>
              <w:spacing w:line="240" w:lineRule="auto"/>
              <w:jc w:val="center"/>
              <w:rPr>
                <w:rFonts w:hint="eastAsia" w:ascii="宋体" w:hAnsi="宋体" w:eastAsia="宋体" w:cs="宋体"/>
                <w:sz w:val="24"/>
                <w:szCs w:val="24"/>
                <w:highlight w:val="yellow"/>
              </w:rPr>
            </w:pPr>
          </w:p>
        </w:tc>
        <w:tc>
          <w:tcPr>
            <w:tcW w:w="1556" w:type="dxa"/>
            <w:noWrap w:val="0"/>
            <w:vAlign w:val="center"/>
          </w:tcPr>
          <w:p>
            <w:pPr>
              <w:pStyle w:val="83"/>
              <w:spacing w:before="71" w:line="240" w:lineRule="auto"/>
              <w:ind w:left="176"/>
              <w:jc w:val="center"/>
              <w:rPr>
                <w:rFonts w:hint="eastAsia" w:ascii="宋体" w:hAnsi="宋体" w:eastAsia="宋体" w:cs="宋体"/>
                <w:sz w:val="24"/>
                <w:szCs w:val="24"/>
                <w:highlight w:val="none"/>
              </w:rPr>
            </w:pPr>
            <w:r>
              <w:rPr>
                <w:sz w:val="24"/>
                <w:highlight w:val="none"/>
              </w:rPr>
              <w:t>质量保证和质量违约责任承诺（5分）</w:t>
            </w:r>
          </w:p>
        </w:tc>
        <w:tc>
          <w:tcPr>
            <w:tcW w:w="7262" w:type="dxa"/>
            <w:noWrap w:val="0"/>
            <w:vAlign w:val="top"/>
          </w:tcPr>
          <w:p>
            <w:pPr>
              <w:pStyle w:val="83"/>
              <w:keepNext w:val="0"/>
              <w:keepLines w:val="0"/>
              <w:pageBreakBefore w:val="0"/>
              <w:widowControl w:val="0"/>
              <w:kinsoku/>
              <w:wordWrap/>
              <w:overflowPunct/>
              <w:topLinePunct w:val="0"/>
              <w:autoSpaceDE/>
              <w:autoSpaceDN/>
              <w:bidi w:val="0"/>
              <w:adjustRightInd/>
              <w:snapToGrid/>
              <w:spacing w:line="360" w:lineRule="exact"/>
              <w:ind w:left="0" w:right="95" w:firstLine="240" w:firstLineChars="100"/>
              <w:jc w:val="left"/>
              <w:textAlignment w:val="auto"/>
              <w:rPr>
                <w:sz w:val="24"/>
                <w:highlight w:val="none"/>
              </w:rPr>
            </w:pPr>
            <w:r>
              <w:rPr>
                <w:rFonts w:hint="eastAsia"/>
                <w:sz w:val="24"/>
                <w:highlight w:val="none"/>
                <w:lang w:val="en-US" w:eastAsia="zh-CN"/>
              </w:rPr>
              <w:t>1、</w:t>
            </w:r>
            <w:r>
              <w:rPr>
                <w:sz w:val="24"/>
                <w:highlight w:val="none"/>
              </w:rPr>
              <w:t>应用新技术、新工艺、新材料、新设备，针对项目实际提出先进、可行、具体的保证措施，超过招标文件的质量要求，质量违约责任承诺具体，经济赔偿最大，得 5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sz w:val="24"/>
                <w:highlight w:val="none"/>
              </w:rPr>
            </w:pPr>
            <w:r>
              <w:rPr>
                <w:rFonts w:hint="eastAsia"/>
                <w:sz w:val="24"/>
                <w:highlight w:val="none"/>
                <w:lang w:val="en-US" w:eastAsia="zh-CN"/>
              </w:rPr>
              <w:t>2、</w:t>
            </w:r>
            <w:r>
              <w:rPr>
                <w:sz w:val="24"/>
                <w:highlight w:val="none"/>
              </w:rPr>
              <w:t>针对项目实际提出先进、可行、具体的保证措施，满足招标文件的质量要求，质量违约责任承诺具体，经济赔偿次大，得3分；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sz w:val="24"/>
                <w:highlight w:val="none"/>
              </w:rPr>
            </w:pPr>
            <w:r>
              <w:rPr>
                <w:rFonts w:hint="eastAsia"/>
                <w:sz w:val="24"/>
                <w:highlight w:val="none"/>
                <w:lang w:val="en-US" w:eastAsia="zh-CN"/>
              </w:rPr>
              <w:t>3、</w:t>
            </w:r>
            <w:r>
              <w:rPr>
                <w:sz w:val="24"/>
                <w:highlight w:val="none"/>
              </w:rPr>
              <w:t>具体措施可行，满足招标文件的质量要求，质量违约责任承诺具体，得 1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22" w:firstLineChars="100"/>
              <w:jc w:val="left"/>
              <w:textAlignment w:val="auto"/>
              <w:rPr>
                <w:rFonts w:hint="eastAsia" w:ascii="宋体" w:hAnsi="宋体" w:eastAsia="宋体" w:cs="宋体"/>
                <w:sz w:val="24"/>
                <w:szCs w:val="24"/>
                <w:highlight w:val="none"/>
              </w:rPr>
            </w:pPr>
            <w:r>
              <w:rPr>
                <w:rFonts w:hint="eastAsia"/>
                <w:spacing w:val="-9"/>
                <w:sz w:val="24"/>
                <w:highlight w:val="none"/>
                <w:lang w:val="en-US" w:eastAsia="zh-CN"/>
              </w:rPr>
              <w:t>4、</w:t>
            </w:r>
            <w:r>
              <w:rPr>
                <w:spacing w:val="-9"/>
                <w:sz w:val="24"/>
                <w:highlight w:val="none"/>
              </w:rPr>
              <w:t>措施不可行，没有质量违约责任承诺，或没有该项内容的，得</w:t>
            </w:r>
            <w:r>
              <w:rPr>
                <w:sz w:val="24"/>
                <w:highlight w:val="none"/>
              </w:rPr>
              <w:t>0分。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76" w:hRule="atLeast"/>
          <w:jc w:val="center"/>
        </w:trPr>
        <w:tc>
          <w:tcPr>
            <w:tcW w:w="844" w:type="dxa"/>
            <w:vMerge w:val="continue"/>
            <w:noWrap w:val="0"/>
            <w:vAlign w:val="center"/>
          </w:tcPr>
          <w:p>
            <w:pPr>
              <w:spacing w:line="240" w:lineRule="auto"/>
              <w:jc w:val="center"/>
              <w:rPr>
                <w:rFonts w:hint="eastAsia" w:ascii="宋体" w:hAnsi="宋体" w:eastAsia="宋体" w:cs="宋体"/>
                <w:sz w:val="24"/>
                <w:szCs w:val="24"/>
                <w:highlight w:val="yellow"/>
              </w:rPr>
            </w:pPr>
          </w:p>
        </w:tc>
        <w:tc>
          <w:tcPr>
            <w:tcW w:w="1556" w:type="dxa"/>
            <w:noWrap w:val="0"/>
            <w:vAlign w:val="center"/>
          </w:tcPr>
          <w:p>
            <w:pPr>
              <w:pStyle w:val="83"/>
              <w:spacing w:line="240" w:lineRule="auto"/>
              <w:jc w:val="center"/>
              <w:rPr>
                <w:rFonts w:hint="eastAsia" w:ascii="宋体" w:hAnsi="宋体" w:eastAsia="宋体" w:cs="宋体"/>
                <w:sz w:val="24"/>
                <w:szCs w:val="24"/>
                <w:highlight w:val="none"/>
              </w:rPr>
            </w:pPr>
            <w:r>
              <w:rPr>
                <w:rFonts w:ascii="Times New Roman" w:hAnsi="Times New Roman" w:cs="Times New Roman"/>
                <w:sz w:val="24"/>
                <w:highlight w:val="none"/>
              </w:rPr>
              <w:t>关键施工技术、工艺及工程项目实施 的重点、难点分析和解决 方案（10 分）</w:t>
            </w:r>
          </w:p>
        </w:tc>
        <w:tc>
          <w:tcPr>
            <w:tcW w:w="7262" w:type="dxa"/>
            <w:noWrap w:val="0"/>
            <w:vAlign w:val="top"/>
          </w:tcPr>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sz w:val="24"/>
                <w:highlight w:val="none"/>
              </w:rPr>
            </w:pPr>
            <w:r>
              <w:rPr>
                <w:rFonts w:hint="eastAsia"/>
                <w:sz w:val="24"/>
                <w:highlight w:val="none"/>
                <w:lang w:val="en-US" w:eastAsia="zh-CN"/>
              </w:rPr>
              <w:t>1、</w:t>
            </w:r>
            <w:r>
              <w:rPr>
                <w:sz w:val="24"/>
                <w:highlight w:val="none"/>
              </w:rPr>
              <w:t>对项目关键技术、工艺有深入的表述；对重点、难点有先进、合理的建议，解决方案完整、经济、安全、切实可行，措施得力，得 10 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sz w:val="24"/>
                <w:highlight w:val="none"/>
              </w:rPr>
            </w:pPr>
            <w:r>
              <w:rPr>
                <w:rFonts w:hint="eastAsia"/>
                <w:sz w:val="24"/>
                <w:highlight w:val="none"/>
                <w:lang w:val="en-US" w:eastAsia="zh-CN"/>
              </w:rPr>
              <w:t>2、</w:t>
            </w:r>
            <w:r>
              <w:rPr>
                <w:sz w:val="24"/>
                <w:highlight w:val="none"/>
              </w:rPr>
              <w:t>对项目关键技术、工艺有深入的表述；对重点、难点有合理的建议，解决方案经济、安全、基本可行，得 7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sz w:val="24"/>
                <w:highlight w:val="none"/>
              </w:rPr>
            </w:pPr>
            <w:r>
              <w:rPr>
                <w:rFonts w:hint="eastAsia"/>
                <w:sz w:val="24"/>
                <w:highlight w:val="none"/>
                <w:lang w:val="en-US" w:eastAsia="zh-CN"/>
              </w:rPr>
              <w:t>3、</w:t>
            </w:r>
            <w:r>
              <w:rPr>
                <w:sz w:val="24"/>
                <w:highlight w:val="none"/>
              </w:rPr>
              <w:t>对项目关键技术有一定了解，对重点、难点有建议，解决方案基本可行，得 4 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0" w:rightChars="0" w:firstLine="240" w:firstLineChars="100"/>
              <w:jc w:val="left"/>
              <w:textAlignment w:val="auto"/>
              <w:rPr>
                <w:rFonts w:hint="eastAsia" w:ascii="宋体" w:hAnsi="宋体" w:eastAsia="宋体" w:cs="宋体"/>
                <w:sz w:val="24"/>
                <w:szCs w:val="24"/>
                <w:highlight w:val="none"/>
                <w:lang w:val="en-US" w:eastAsia="zh-CN"/>
              </w:rPr>
            </w:pPr>
            <w:r>
              <w:rPr>
                <w:rFonts w:hint="eastAsia"/>
                <w:sz w:val="24"/>
                <w:highlight w:val="none"/>
                <w:lang w:val="en-US" w:eastAsia="zh-CN"/>
              </w:rPr>
              <w:t>4、对项目关键技术有表述，对重点、难点有建议，解决方案不可行，或没有该项内容的，得 0 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44" w:type="dxa"/>
            <w:vMerge w:val="continue"/>
            <w:noWrap w:val="0"/>
            <w:vAlign w:val="center"/>
          </w:tcPr>
          <w:p>
            <w:pPr>
              <w:spacing w:line="240" w:lineRule="auto"/>
              <w:jc w:val="center"/>
              <w:rPr>
                <w:rFonts w:hint="eastAsia" w:ascii="宋体" w:hAnsi="宋体" w:eastAsia="宋体" w:cs="宋体"/>
                <w:sz w:val="24"/>
                <w:szCs w:val="24"/>
                <w:highlight w:val="yellow"/>
              </w:rPr>
            </w:pPr>
          </w:p>
        </w:tc>
        <w:tc>
          <w:tcPr>
            <w:tcW w:w="1556" w:type="dxa"/>
            <w:noWrap w:val="0"/>
            <w:vAlign w:val="center"/>
          </w:tcPr>
          <w:p>
            <w:pPr>
              <w:pStyle w:val="83"/>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安全文明</w:t>
            </w:r>
            <w:r>
              <w:rPr>
                <w:rFonts w:hint="eastAsia" w:ascii="宋体" w:hAnsi="宋体" w:cs="宋体"/>
                <w:sz w:val="24"/>
                <w:szCs w:val="24"/>
                <w:highlight w:val="none"/>
                <w:lang w:eastAsia="zh-CN"/>
              </w:rPr>
              <w:t>、环保</w:t>
            </w:r>
            <w:r>
              <w:rPr>
                <w:rFonts w:hint="eastAsia" w:ascii="宋体" w:hAnsi="宋体" w:eastAsia="宋体" w:cs="宋体"/>
                <w:sz w:val="24"/>
                <w:szCs w:val="24"/>
                <w:highlight w:val="none"/>
              </w:rPr>
              <w:t>施工措施</w:t>
            </w:r>
          </w:p>
          <w:p>
            <w:pPr>
              <w:pStyle w:val="83"/>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7262" w:type="dxa"/>
            <w:noWrap w:val="0"/>
            <w:vAlign w:val="top"/>
          </w:tcPr>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针对项目实际情况，有先进、具体、完整、可行的实施措施，采用规范正确、清晰，得 5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针对项目实际情况，有合理的措施且具体、完整，采用规范正确，得 3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有基本合理的措施，采用规范正确，得 1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安全文明</w:t>
            </w:r>
            <w:r>
              <w:rPr>
                <w:rFonts w:hint="eastAsia" w:ascii="宋体" w:hAnsi="宋体" w:cs="宋体"/>
                <w:sz w:val="24"/>
                <w:szCs w:val="24"/>
                <w:highlight w:val="none"/>
                <w:lang w:eastAsia="zh-CN"/>
              </w:rPr>
              <w:t>、环保</w:t>
            </w:r>
            <w:r>
              <w:rPr>
                <w:rFonts w:hint="eastAsia" w:ascii="宋体" w:hAnsi="宋体" w:eastAsia="宋体" w:cs="宋体"/>
                <w:sz w:val="24"/>
                <w:szCs w:val="24"/>
                <w:highlight w:val="none"/>
              </w:rPr>
              <w:t>措施不得力，采用规范不正确，或没有该项内容的，得 0 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583" w:hRule="atLeast"/>
          <w:jc w:val="center"/>
        </w:trPr>
        <w:tc>
          <w:tcPr>
            <w:tcW w:w="844" w:type="dxa"/>
            <w:vMerge w:val="continue"/>
            <w:tcBorders>
              <w:bottom w:val="single" w:color="auto" w:sz="4" w:space="0"/>
            </w:tcBorders>
            <w:noWrap w:val="0"/>
            <w:vAlign w:val="center"/>
          </w:tcPr>
          <w:p>
            <w:pPr>
              <w:spacing w:line="240" w:lineRule="auto"/>
              <w:jc w:val="center"/>
              <w:rPr>
                <w:rFonts w:hint="eastAsia" w:ascii="宋体" w:hAnsi="宋体" w:eastAsia="宋体" w:cs="宋体"/>
                <w:sz w:val="24"/>
                <w:szCs w:val="24"/>
                <w:highlight w:val="yellow"/>
              </w:rPr>
            </w:pPr>
          </w:p>
        </w:tc>
        <w:tc>
          <w:tcPr>
            <w:tcW w:w="1556" w:type="dxa"/>
            <w:tcBorders>
              <w:bottom w:val="single" w:color="auto" w:sz="4" w:space="0"/>
            </w:tcBorders>
            <w:noWrap w:val="0"/>
            <w:vAlign w:val="center"/>
          </w:tcPr>
          <w:p>
            <w:pPr>
              <w:pStyle w:val="83"/>
              <w:spacing w:before="71" w:line="240" w:lineRule="auto"/>
              <w:ind w:left="176"/>
              <w:jc w:val="center"/>
              <w:rPr>
                <w:sz w:val="24"/>
                <w:highlight w:val="none"/>
              </w:rPr>
            </w:pPr>
            <w:r>
              <w:rPr>
                <w:sz w:val="24"/>
                <w:highlight w:val="none"/>
              </w:rPr>
              <w:t>新技术应用</w:t>
            </w:r>
          </w:p>
          <w:p>
            <w:pPr>
              <w:pStyle w:val="83"/>
              <w:spacing w:before="151" w:line="240" w:lineRule="auto"/>
              <w:ind w:left="176"/>
              <w:jc w:val="center"/>
              <w:rPr>
                <w:sz w:val="24"/>
                <w:highlight w:val="none"/>
              </w:rPr>
            </w:pPr>
            <w:r>
              <w:rPr>
                <w:sz w:val="24"/>
                <w:highlight w:val="none"/>
              </w:rPr>
              <w:t>和违约责任</w:t>
            </w:r>
          </w:p>
          <w:p>
            <w:pPr>
              <w:pStyle w:val="83"/>
              <w:spacing w:before="71" w:line="240" w:lineRule="auto"/>
              <w:ind w:left="107" w:leftChars="0" w:right="0" w:rightChars="0"/>
              <w:jc w:val="center"/>
              <w:rPr>
                <w:rFonts w:hint="eastAsia" w:ascii="宋体" w:hAnsi="宋体" w:eastAsia="宋体" w:cs="宋体"/>
                <w:color w:val="auto"/>
                <w:sz w:val="24"/>
                <w:szCs w:val="24"/>
                <w:highlight w:val="none"/>
              </w:rPr>
            </w:pPr>
            <w:r>
              <w:rPr>
                <w:sz w:val="24"/>
                <w:highlight w:val="none"/>
              </w:rPr>
              <w:t>承诺（5</w:t>
            </w:r>
            <w:r>
              <w:rPr>
                <w:spacing w:val="-30"/>
                <w:sz w:val="24"/>
                <w:highlight w:val="none"/>
              </w:rPr>
              <w:t xml:space="preserve"> 分</w:t>
            </w:r>
            <w:r>
              <w:rPr>
                <w:sz w:val="24"/>
                <w:highlight w:val="none"/>
              </w:rPr>
              <w:t>）</w:t>
            </w:r>
          </w:p>
        </w:tc>
        <w:tc>
          <w:tcPr>
            <w:tcW w:w="7262" w:type="dxa"/>
            <w:noWrap w:val="0"/>
            <w:vAlign w:val="top"/>
          </w:tcPr>
          <w:p>
            <w:pPr>
              <w:pStyle w:val="83"/>
              <w:keepNext w:val="0"/>
              <w:keepLines w:val="0"/>
              <w:pageBreakBefore w:val="0"/>
              <w:widowControl w:val="0"/>
              <w:kinsoku/>
              <w:wordWrap/>
              <w:overflowPunct/>
              <w:topLinePunct w:val="0"/>
              <w:autoSpaceDE/>
              <w:autoSpaceDN/>
              <w:bidi w:val="0"/>
              <w:adjustRightInd/>
              <w:snapToGrid/>
              <w:spacing w:line="360" w:lineRule="exact"/>
              <w:ind w:left="0" w:right="98" w:firstLine="240" w:firstLineChars="100"/>
              <w:jc w:val="left"/>
              <w:textAlignment w:val="auto"/>
              <w:rPr>
                <w:sz w:val="24"/>
                <w:highlight w:val="none"/>
              </w:rPr>
            </w:pPr>
            <w:r>
              <w:rPr>
                <w:rFonts w:hint="eastAsia"/>
                <w:sz w:val="24"/>
                <w:highlight w:val="none"/>
                <w:lang w:val="en-US" w:eastAsia="zh-CN"/>
              </w:rPr>
              <w:t>1、</w:t>
            </w:r>
            <w:r>
              <w:rPr>
                <w:sz w:val="24"/>
                <w:highlight w:val="none"/>
              </w:rPr>
              <w:t>针对项目实际，提出采用新技术的具体措施。新技术的验证材料可靠，对节约投资和工期的保证措施得力、具体、严谨。对</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sz w:val="24"/>
                <w:highlight w:val="none"/>
              </w:rPr>
            </w:pPr>
            <w:r>
              <w:rPr>
                <w:sz w:val="24"/>
                <w:highlight w:val="none"/>
              </w:rPr>
              <w:t>采用新技术可能产生的风险预见充分，违约承诺具体，经济赔</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sz w:val="24"/>
                <w:highlight w:val="none"/>
              </w:rPr>
            </w:pPr>
            <w:r>
              <w:rPr>
                <w:sz w:val="24"/>
                <w:highlight w:val="none"/>
              </w:rPr>
              <w:t>偿最大，得 5 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sz w:val="24"/>
                <w:highlight w:val="none"/>
              </w:rPr>
            </w:pPr>
            <w:r>
              <w:rPr>
                <w:rFonts w:hint="eastAsia"/>
                <w:sz w:val="24"/>
                <w:highlight w:val="none"/>
                <w:lang w:val="en-US" w:eastAsia="zh-CN"/>
              </w:rPr>
              <w:t>2、</w:t>
            </w:r>
            <w:r>
              <w:rPr>
                <w:sz w:val="24"/>
                <w:highlight w:val="none"/>
              </w:rPr>
              <w:t>针对项目实际，提出采用新技术的具体措施。新技术的验证材料可靠，对节约投资和工期有保证措施。对采用新技术可能产生的风险有一定的预见，违约承诺具体，经济赔偿次大，得3分；</w:t>
            </w:r>
          </w:p>
          <w:p>
            <w:pPr>
              <w:pStyle w:val="83"/>
              <w:keepNext w:val="0"/>
              <w:keepLines w:val="0"/>
              <w:pageBreakBefore w:val="0"/>
              <w:widowControl w:val="0"/>
              <w:kinsoku/>
              <w:wordWrap/>
              <w:overflowPunct/>
              <w:topLinePunct w:val="0"/>
              <w:autoSpaceDE/>
              <w:autoSpaceDN/>
              <w:bidi w:val="0"/>
              <w:adjustRightInd/>
              <w:snapToGrid/>
              <w:spacing w:line="360" w:lineRule="exact"/>
              <w:ind w:left="0" w:right="95" w:firstLine="240" w:firstLineChars="100"/>
              <w:jc w:val="left"/>
              <w:textAlignment w:val="auto"/>
              <w:rPr>
                <w:sz w:val="24"/>
                <w:highlight w:val="none"/>
              </w:rPr>
            </w:pPr>
            <w:r>
              <w:rPr>
                <w:rFonts w:hint="eastAsia"/>
                <w:sz w:val="24"/>
                <w:highlight w:val="none"/>
                <w:lang w:val="en-US" w:eastAsia="zh-CN"/>
              </w:rPr>
              <w:t>3、</w:t>
            </w:r>
            <w:r>
              <w:rPr>
                <w:sz w:val="24"/>
                <w:highlight w:val="none"/>
              </w:rPr>
              <w:t>有新技术措施，但验证材料不充分，对节约投资和工期可能有一定收益，对采用的新技术可能产生的风险预见不足，有违约责任承诺，得 1 分；</w:t>
            </w:r>
          </w:p>
          <w:p>
            <w:pPr>
              <w:pStyle w:val="8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0" w:firstLineChars="100"/>
              <w:jc w:val="left"/>
              <w:textAlignment w:val="auto"/>
              <w:rPr>
                <w:rFonts w:hint="eastAsia" w:ascii="宋体" w:hAnsi="宋体" w:eastAsia="宋体" w:cs="宋体"/>
                <w:bCs/>
                <w:color w:val="auto"/>
                <w:sz w:val="24"/>
                <w:szCs w:val="24"/>
                <w:highlight w:val="none"/>
                <w:lang w:val="en-US" w:eastAsia="zh-CN"/>
              </w:rPr>
            </w:pPr>
            <w:r>
              <w:rPr>
                <w:rFonts w:hint="eastAsia"/>
                <w:sz w:val="24"/>
                <w:highlight w:val="none"/>
                <w:lang w:val="en-US" w:eastAsia="zh-CN"/>
              </w:rPr>
              <w:t>4</w:t>
            </w:r>
            <w:r>
              <w:rPr>
                <w:sz w:val="24"/>
                <w:highlight w:val="none"/>
              </w:rPr>
              <w:t>采用的新技术针对性不强或验证材料不可靠，对节约投资没有收益，无违约责任承诺，或没有该项内容的，得 0 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126" w:hRule="atLeast"/>
          <w:jc w:val="center"/>
        </w:trPr>
        <w:tc>
          <w:tcPr>
            <w:tcW w:w="844" w:type="dxa"/>
            <w:vMerge w:val="continue"/>
            <w:tcBorders>
              <w:bottom w:val="single" w:color="auto" w:sz="4" w:space="0"/>
            </w:tcBorders>
            <w:noWrap w:val="0"/>
            <w:vAlign w:val="center"/>
          </w:tcPr>
          <w:p>
            <w:pPr>
              <w:spacing w:line="240" w:lineRule="auto"/>
              <w:jc w:val="center"/>
              <w:rPr>
                <w:rFonts w:hint="eastAsia" w:ascii="宋体" w:hAnsi="宋体" w:eastAsia="宋体" w:cs="宋体"/>
                <w:sz w:val="24"/>
                <w:szCs w:val="24"/>
                <w:highlight w:val="yellow"/>
              </w:rPr>
            </w:pPr>
          </w:p>
        </w:tc>
        <w:tc>
          <w:tcPr>
            <w:tcW w:w="1556" w:type="dxa"/>
            <w:tcBorders>
              <w:bottom w:val="single" w:color="auto" w:sz="4" w:space="0"/>
            </w:tcBorders>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投标人项目管理机构配备、人员岗位职责分工（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262"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240" w:firstLineChars="1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①项目管理机构配备、人员岗位职责分工具体、详细，能完全满足项目需求得5分；</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240" w:firstLineChars="1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②项目管理机构配备、人员岗位职责分工比较具体、比较详细，较好满足项目需求得4分；</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240" w:firstLineChars="1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③项目管理机构配备、人员岗位职责分工基本具体、基本详细，基本满足项目需求得3分；</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240" w:firstLineChars="1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④项目管理机构配备、人员岗位职责分工不具体、不详细得2分；</w:t>
            </w:r>
          </w:p>
          <w:p>
            <w:pPr>
              <w:pStyle w:val="83"/>
              <w:keepNext w:val="0"/>
              <w:keepLines w:val="0"/>
              <w:pageBreakBefore w:val="0"/>
              <w:widowControl w:val="0"/>
              <w:kinsoku/>
              <w:wordWrap/>
              <w:overflowPunct/>
              <w:topLinePunct w:val="0"/>
              <w:autoSpaceDE/>
              <w:autoSpaceDN/>
              <w:bidi w:val="0"/>
              <w:adjustRightInd/>
              <w:snapToGrid/>
              <w:spacing w:line="360" w:lineRule="exact"/>
              <w:ind w:left="0" w:firstLine="240" w:firstLineChars="100"/>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val="en-US" w:eastAsia="zh-CN"/>
              </w:rPr>
              <w:t>⑤项目管理机构配备、人员岗位职责分工未提供得0分。</w:t>
            </w:r>
          </w:p>
        </w:tc>
      </w:tr>
      <w:tr>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2136" w:hRule="atLeast"/>
          <w:jc w:val="center"/>
        </w:trPr>
        <w:tc>
          <w:tcPr>
            <w:tcW w:w="844" w:type="dxa"/>
            <w:tcBorders>
              <w:top w:val="single" w:color="auto" w:sz="4" w:space="0"/>
            </w:tcBorders>
            <w:noWrap w:val="0"/>
            <w:vAlign w:val="center"/>
          </w:tcPr>
          <w:p>
            <w:pPr>
              <w:bidi w:val="0"/>
              <w:spacing w:line="24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商务得分</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分</w:t>
            </w:r>
            <w:r>
              <w:rPr>
                <w:rFonts w:hint="eastAsia" w:ascii="宋体" w:hAnsi="宋体" w:cs="宋体"/>
                <w:sz w:val="24"/>
                <w:szCs w:val="24"/>
                <w:highlight w:val="none"/>
                <w:lang w:eastAsia="zh-CN"/>
              </w:rPr>
              <w:t>）</w:t>
            </w:r>
          </w:p>
        </w:tc>
        <w:tc>
          <w:tcPr>
            <w:tcW w:w="1556" w:type="dxa"/>
            <w:tcBorders>
              <w:top w:val="single" w:color="auto" w:sz="4" w:space="0"/>
            </w:tcBorders>
            <w:noWrap w:val="0"/>
            <w:vAlign w:val="center"/>
          </w:tcPr>
          <w:p>
            <w:pPr>
              <w:pStyle w:val="83"/>
              <w:spacing w:before="71" w:line="240" w:lineRule="auto"/>
              <w:ind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lang w:eastAsia="zh-CN"/>
              </w:rPr>
              <w:t>）</w:t>
            </w:r>
          </w:p>
        </w:tc>
        <w:tc>
          <w:tcPr>
            <w:tcW w:w="7262" w:type="dxa"/>
            <w:noWrap w:val="0"/>
            <w:vAlign w:val="center"/>
          </w:tcPr>
          <w:p>
            <w:pPr>
              <w:pStyle w:val="8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0" w:firstLineChars="100"/>
              <w:jc w:val="left"/>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投标单位提供自2018年1月1日以来（以合同签订日期为准）类似工程项目业绩，每个项目得2分，</w:t>
            </w:r>
            <w:r>
              <w:rPr>
                <w:rFonts w:hint="eastAsia" w:ascii="宋体" w:hAnsi="宋体" w:cs="宋体"/>
                <w:color w:val="000000"/>
                <w:sz w:val="24"/>
                <w:szCs w:val="24"/>
                <w:highlight w:val="none"/>
                <w:lang w:val="en-US" w:eastAsia="zh-CN" w:bidi="ar-SA"/>
              </w:rPr>
              <w:t>此项</w:t>
            </w:r>
            <w:r>
              <w:rPr>
                <w:rFonts w:hint="eastAsia" w:ascii="宋体" w:hAnsi="宋体" w:eastAsia="宋体" w:cs="宋体"/>
                <w:color w:val="000000"/>
                <w:sz w:val="24"/>
                <w:szCs w:val="24"/>
                <w:highlight w:val="none"/>
                <w:lang w:val="en-US" w:eastAsia="zh-CN" w:bidi="ar-SA"/>
              </w:rPr>
              <w:t>最</w:t>
            </w:r>
            <w:r>
              <w:rPr>
                <w:rFonts w:hint="eastAsia" w:ascii="宋体" w:hAnsi="宋体" w:cs="宋体"/>
                <w:color w:val="000000"/>
                <w:sz w:val="24"/>
                <w:szCs w:val="24"/>
                <w:highlight w:val="none"/>
                <w:lang w:val="en-US" w:eastAsia="zh-CN" w:bidi="ar-SA"/>
              </w:rPr>
              <w:t>高</w:t>
            </w:r>
            <w:r>
              <w:rPr>
                <w:rFonts w:hint="eastAsia" w:ascii="宋体" w:hAnsi="宋体" w:eastAsia="宋体" w:cs="宋体"/>
                <w:color w:val="000000"/>
                <w:sz w:val="24"/>
                <w:szCs w:val="24"/>
                <w:highlight w:val="none"/>
                <w:lang w:val="en-US" w:eastAsia="zh-CN" w:bidi="ar-SA"/>
              </w:rPr>
              <w:t>得10分。</w:t>
            </w:r>
          </w:p>
          <w:p>
            <w:pPr>
              <w:pStyle w:val="8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241" w:firstLineChars="100"/>
              <w:jc w:val="left"/>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b/>
                <w:bCs/>
                <w:color w:val="000000"/>
                <w:sz w:val="24"/>
                <w:szCs w:val="24"/>
                <w:highlight w:val="none"/>
                <w:lang w:val="en-US" w:eastAsia="zh-CN" w:bidi="ar-SA"/>
              </w:rPr>
              <w:t>注：需将合同原件</w:t>
            </w:r>
            <w:r>
              <w:rPr>
                <w:rFonts w:hint="eastAsia" w:ascii="宋体" w:hAnsi="宋体" w:cs="宋体"/>
                <w:b/>
                <w:bCs/>
                <w:color w:val="000000"/>
                <w:sz w:val="24"/>
                <w:szCs w:val="24"/>
                <w:highlight w:val="none"/>
                <w:lang w:val="en-US" w:eastAsia="zh-CN" w:bidi="ar-SA"/>
              </w:rPr>
              <w:t>及中标通知书原件（二者缺一不可）</w:t>
            </w:r>
            <w:r>
              <w:rPr>
                <w:rFonts w:hint="eastAsia" w:ascii="宋体" w:hAnsi="宋体" w:eastAsia="宋体" w:cs="宋体"/>
                <w:b/>
                <w:bCs/>
                <w:color w:val="000000"/>
                <w:sz w:val="24"/>
                <w:szCs w:val="24"/>
                <w:highlight w:val="none"/>
                <w:lang w:val="en-US" w:eastAsia="zh-CN" w:bidi="ar-SA"/>
              </w:rPr>
              <w:t>彩色扫描件加盖公章附在</w:t>
            </w:r>
            <w:r>
              <w:rPr>
                <w:rFonts w:hint="eastAsia" w:ascii="宋体" w:hAnsi="宋体" w:cs="宋体"/>
                <w:b/>
                <w:bCs/>
                <w:color w:val="000000"/>
                <w:sz w:val="24"/>
                <w:szCs w:val="24"/>
                <w:highlight w:val="none"/>
                <w:lang w:val="en-US" w:eastAsia="zh-CN" w:bidi="ar-SA"/>
              </w:rPr>
              <w:t>投标</w:t>
            </w:r>
            <w:r>
              <w:rPr>
                <w:rFonts w:hint="eastAsia" w:ascii="宋体" w:hAnsi="宋体" w:eastAsia="宋体" w:cs="宋体"/>
                <w:b/>
                <w:bCs/>
                <w:color w:val="000000"/>
                <w:sz w:val="24"/>
                <w:szCs w:val="24"/>
                <w:highlight w:val="none"/>
                <w:lang w:val="en-US" w:eastAsia="zh-CN" w:bidi="ar-SA"/>
              </w:rPr>
              <w:t>文件中，否则不得分。</w:t>
            </w:r>
          </w:p>
        </w:tc>
      </w:tr>
    </w:tbl>
    <w:p>
      <w:pPr>
        <w:pStyle w:val="2"/>
        <w:rPr>
          <w:rFonts w:hint="eastAsia"/>
        </w:rPr>
      </w:pP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说明：</w:t>
      </w:r>
    </w:p>
    <w:p>
      <w:pPr>
        <w:numPr>
          <w:ilvl w:val="0"/>
          <w:numId w:val="7"/>
        </w:num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本评标办法只针对有效投标文件予以评分，不能实质性投标招标文件的投标文件为无效投标文件。</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2.评分如出现小数点，则保留到小数点后两位。</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3.评委根据投标文件对招标文件的投标情况依据评分标准及分值酌情打分；合格供应商技术标的有效得分按下列公式计算：F=（T1+T2+…+TN）/N，其中：F-为合格供应商技术标的汇总得分，T-为评委所给的分值，N-为评标委员会成员人数。</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4、评标过程中若出现其他异常情况，评标委员会有权集体决策定标或废止本次招标，经监管部门同意，招标单位可另行组织招标。</w:t>
      </w:r>
    </w:p>
    <w:p>
      <w:pPr>
        <w:adjustRightInd w:val="0"/>
        <w:snapToGrid w:val="0"/>
        <w:spacing w:line="480" w:lineRule="exact"/>
        <w:ind w:firstLine="480" w:firstLineChars="200"/>
        <w:rPr>
          <w:rFonts w:hint="eastAsia" w:ascii="宋体" w:hAnsi="宋体" w:eastAsia="宋体" w:cs="宋体"/>
          <w:b/>
          <w:sz w:val="24"/>
          <w:u w:val="double"/>
        </w:rPr>
      </w:pPr>
      <w:r>
        <w:rPr>
          <w:rFonts w:hint="eastAsia" w:ascii="宋体" w:hAnsi="宋体" w:eastAsia="宋体" w:cs="宋体"/>
          <w:sz w:val="24"/>
        </w:rPr>
        <w:t>5、</w:t>
      </w:r>
      <w:r>
        <w:rPr>
          <w:rFonts w:hint="eastAsia" w:ascii="宋体" w:hAnsi="宋体" w:eastAsia="宋体" w:cs="宋体"/>
          <w:b/>
          <w:sz w:val="24"/>
          <w:u w:val="double"/>
        </w:rPr>
        <w:t>根据推荐的中标候选人排序情况确定排名第一的供应商为成交供应商。</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31、关于供应商瑕疵滞后发现的处理规则</w:t>
      </w:r>
    </w:p>
    <w:p>
      <w:pPr>
        <w:topLinePunct/>
        <w:spacing w:line="480" w:lineRule="exact"/>
        <w:ind w:firstLine="482"/>
        <w:rPr>
          <w:rFonts w:hint="eastAsia" w:ascii="宋体" w:hAnsi="宋体" w:eastAsia="宋体" w:cs="宋体"/>
          <w:sz w:val="24"/>
        </w:rPr>
      </w:pPr>
      <w:r>
        <w:rPr>
          <w:rFonts w:hint="eastAsia" w:ascii="宋体" w:hAnsi="宋体" w:eastAsia="宋体" w:cs="宋体"/>
          <w:sz w:val="24"/>
        </w:rPr>
        <w:t>1、无论基于何种原因，本应作无效、废标处理的情形即便未被及时发现而使该供应商进入初审、详细评审或者其它后续程序，包括已经签约的情形，一旦在任何时间被发现存在上述情形，评标委员会均有权随时视情形决定是否取消该供应商的此前评议结果，或者随时视情形决定该投标无效，并有权决定采取相应的补救、纠正措施；若通过补救、纠正措施能够满足招标文件或者采购人要求，评标委员会可以维持既定结果并要求中标人出具补救、纠正措施等承诺，由此产生的一切费用由中标人承担；若通过补救、纠正措施仍不能够满足招标文件或者采购人要求，评标委员会应出具取消该供应商的此前评议结果的复审结论，并予以废标，由此产生的一切损失均由中标人承担。</w:t>
      </w:r>
    </w:p>
    <w:p>
      <w:pPr>
        <w:topLinePunct/>
        <w:spacing w:line="480" w:lineRule="exact"/>
        <w:ind w:firstLine="482"/>
        <w:rPr>
          <w:rFonts w:hint="eastAsia" w:ascii="宋体" w:hAnsi="宋体" w:eastAsia="宋体" w:cs="宋体"/>
          <w:sz w:val="24"/>
        </w:rPr>
      </w:pPr>
      <w:r>
        <w:rPr>
          <w:rFonts w:hint="eastAsia" w:ascii="宋体" w:hAnsi="宋体" w:eastAsia="宋体" w:cs="宋体"/>
          <w:sz w:val="24"/>
        </w:rPr>
        <w:t>评标委员会认定中标人投标无效、废标或者中标人的此前评议结果被取消的，招标文件规定由评标委员会直接确定中标人的，应予以废标，由采购人依法重新组织招标。出现上述情形的一切损失均由取消中标资格的供应商承担。</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2、若已经超过质疑期限而没有被发现，签署了相关的合同之后才发现存在上述情形，经评标委员会再行审查认为其在技术、必要资质等方面并不存在问题而仅属于商务方面存在瑕疵的问题，若取消该供应商的此前评议结果或者采取类似的处理措施将对本次招标采购更为不利的情形（包括：予以无效投标、废标或者采取类似的处理措施将使本次招标采购成本大幅上升、延误期限以至可能给采购人造成较大损失的），维持中标结果的，采购人必须出具维持中标结果以及是否要求提供特别担保金的书面意见，评标委员会可以维持既定结果并要求中标人出具提供特别担保金承诺，以承担可能产生的赔偿责任；若中标人拒绝提供特别担保金、实际提供的担保金额不足或者采购人不同意维持中标结果的，评标委员会应当决定取消中标人的此前评议结果或者采取类似的处理措施，由此产生的一切损失均由中标人承担。</w:t>
      </w:r>
    </w:p>
    <w:p>
      <w:pPr>
        <w:topLinePunct/>
        <w:spacing w:line="480" w:lineRule="exact"/>
        <w:ind w:firstLine="480" w:firstLineChars="200"/>
        <w:rPr>
          <w:rFonts w:hint="eastAsia" w:ascii="宋体" w:hAnsi="宋体" w:eastAsia="宋体" w:cs="宋体"/>
          <w:sz w:val="24"/>
        </w:rPr>
      </w:pPr>
    </w:p>
    <w:p>
      <w:pPr>
        <w:keepNext/>
        <w:keepLines/>
        <w:tabs>
          <w:tab w:val="left" w:pos="1260"/>
        </w:tabs>
        <w:spacing w:line="700" w:lineRule="exact"/>
        <w:jc w:val="center"/>
        <w:outlineLvl w:val="1"/>
        <w:rPr>
          <w:rFonts w:hint="eastAsia" w:ascii="宋体" w:hAnsi="宋体" w:eastAsia="宋体" w:cs="宋体"/>
          <w:sz w:val="32"/>
          <w:szCs w:val="32"/>
        </w:rPr>
      </w:pPr>
      <w:bookmarkStart w:id="17" w:name="_Toc76741788"/>
      <w:bookmarkStart w:id="18" w:name="_Toc436577564"/>
      <w:bookmarkStart w:id="19" w:name="_Toc434301219"/>
      <w:bookmarkStart w:id="20" w:name="_Toc436576801"/>
      <w:bookmarkStart w:id="21" w:name="_Toc416606100"/>
      <w:bookmarkStart w:id="22" w:name="_Toc420933137"/>
      <w:r>
        <w:rPr>
          <w:rFonts w:hint="eastAsia" w:ascii="宋体" w:hAnsi="宋体" w:eastAsia="宋体" w:cs="宋体"/>
          <w:sz w:val="32"/>
          <w:szCs w:val="32"/>
        </w:rPr>
        <w:t>六、合同的授予</w:t>
      </w:r>
      <w:bookmarkEnd w:id="17"/>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32.合同授予标准</w:t>
      </w:r>
    </w:p>
    <w:p>
      <w:p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本项目的招标合同将授予按本须知第30条规定确定的中标人。</w:t>
      </w:r>
    </w:p>
    <w:p>
      <w:pPr>
        <w:spacing w:line="480" w:lineRule="exact"/>
        <w:ind w:firstLine="482" w:firstLineChars="200"/>
        <w:rPr>
          <w:rFonts w:hint="eastAsia" w:ascii="宋体" w:hAnsi="宋体" w:eastAsia="宋体" w:cs="宋体"/>
          <w:sz w:val="24"/>
        </w:rPr>
      </w:pPr>
      <w:r>
        <w:rPr>
          <w:rFonts w:hint="eastAsia" w:ascii="宋体" w:hAnsi="宋体" w:eastAsia="宋体" w:cs="宋体"/>
          <w:b/>
          <w:sz w:val="24"/>
        </w:rPr>
        <w:t>33.</w:t>
      </w:r>
      <w:r>
        <w:rPr>
          <w:rFonts w:hint="eastAsia" w:ascii="宋体" w:hAnsi="宋体" w:eastAsia="宋体" w:cs="宋体"/>
          <w:sz w:val="24"/>
        </w:rPr>
        <w:t xml:space="preserve"> 采购人在授予合同前，根据实际需求有权在法定范围内对</w:t>
      </w:r>
      <w:r>
        <w:rPr>
          <w:rFonts w:hint="eastAsia" w:ascii="宋体" w:hAnsi="宋体" w:cs="宋体"/>
          <w:sz w:val="24"/>
          <w:lang w:val="en-US" w:eastAsia="zh-CN"/>
        </w:rPr>
        <w:t>采购</w:t>
      </w:r>
      <w:r>
        <w:rPr>
          <w:rFonts w:hint="eastAsia" w:ascii="宋体" w:hAnsi="宋体" w:eastAsia="宋体" w:cs="宋体"/>
          <w:sz w:val="24"/>
        </w:rPr>
        <w:t>内容行适当调整并按供货数量据实结算。</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34.中标通知书</w:t>
      </w:r>
    </w:p>
    <w:p>
      <w:pPr>
        <w:numPr>
          <w:ilvl w:val="0"/>
          <w:numId w:val="8"/>
        </w:num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在投标有效期期满之前，招标代理机构将以书面形式通知中标人，确认其投标已被接受。</w:t>
      </w:r>
    </w:p>
    <w:p>
      <w:pPr>
        <w:numPr>
          <w:ilvl w:val="0"/>
          <w:numId w:val="8"/>
        </w:numPr>
        <w:topLinePunct/>
        <w:spacing w:line="480" w:lineRule="exact"/>
        <w:ind w:firstLine="480" w:firstLineChars="200"/>
        <w:rPr>
          <w:rFonts w:hint="eastAsia" w:ascii="宋体" w:hAnsi="宋体" w:eastAsia="宋体" w:cs="宋体"/>
          <w:sz w:val="24"/>
        </w:rPr>
      </w:pPr>
      <w:r>
        <w:rPr>
          <w:rFonts w:hint="eastAsia" w:ascii="宋体" w:hAnsi="宋体" w:eastAsia="宋体" w:cs="宋体"/>
          <w:sz w:val="24"/>
        </w:rPr>
        <w:t>中标通知书是签订合同的依据和组成部分。</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35.签订合同</w:t>
      </w:r>
    </w:p>
    <w:p>
      <w:pPr>
        <w:spacing w:line="480" w:lineRule="exact"/>
        <w:ind w:firstLine="480" w:firstLineChars="200"/>
        <w:rPr>
          <w:rFonts w:hint="eastAsia" w:ascii="宋体" w:hAnsi="宋体" w:eastAsia="宋体" w:cs="宋体"/>
          <w:b/>
          <w:sz w:val="24"/>
          <w:u w:val="single"/>
        </w:rPr>
      </w:pPr>
      <w:r>
        <w:rPr>
          <w:rFonts w:hint="eastAsia" w:ascii="宋体" w:hAnsi="宋体" w:eastAsia="宋体" w:cs="宋体"/>
          <w:sz w:val="24"/>
        </w:rPr>
        <w:t>1) 中标人应按中标通知书指定的时间、地点与采购人签订合同。招标文件、中标人的投标文件及澄清文件等，均为签订合同的依据。合同盖章生效。</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2) 中标人无正当理由未在规定时间内与采购人签订合同的，采购人有权建议取消其中标资格，并按相关法律法规规定处理。</w:t>
      </w:r>
    </w:p>
    <w:p>
      <w:pPr>
        <w:widowControl/>
        <w:spacing w:line="480" w:lineRule="exact"/>
        <w:ind w:firstLine="480" w:firstLineChars="200"/>
        <w:rPr>
          <w:rFonts w:hint="eastAsia" w:ascii="宋体" w:hAnsi="宋体" w:eastAsia="宋体" w:cs="宋体"/>
          <w:sz w:val="24"/>
        </w:rPr>
      </w:pPr>
      <w:r>
        <w:rPr>
          <w:rFonts w:hint="eastAsia" w:ascii="宋体" w:hAnsi="宋体" w:eastAsia="宋体" w:cs="宋体"/>
          <w:sz w:val="24"/>
        </w:rPr>
        <w:t>3）违约责任、风险承担等其他事项在签订合同时双方具体约定。</w:t>
      </w:r>
    </w:p>
    <w:p>
      <w:pPr>
        <w:spacing w:line="480" w:lineRule="exact"/>
        <w:ind w:firstLine="482" w:firstLineChars="200"/>
        <w:rPr>
          <w:rFonts w:hint="eastAsia" w:ascii="宋体" w:hAnsi="宋体" w:eastAsia="宋体" w:cs="宋体"/>
          <w:b/>
          <w:sz w:val="24"/>
        </w:rPr>
      </w:pPr>
      <w:r>
        <w:rPr>
          <w:rFonts w:hint="eastAsia" w:ascii="宋体" w:hAnsi="宋体" w:eastAsia="宋体" w:cs="宋体"/>
          <w:b/>
          <w:sz w:val="24"/>
        </w:rPr>
        <w:t>36.验收</w:t>
      </w:r>
    </w:p>
    <w:p>
      <w:pPr>
        <w:spacing w:line="480" w:lineRule="exact"/>
        <w:ind w:firstLine="480" w:firstLineChars="200"/>
        <w:rPr>
          <w:rFonts w:hint="eastAsia" w:ascii="宋体" w:hAnsi="宋体" w:eastAsia="宋体" w:cs="宋体"/>
          <w:bCs/>
          <w:sz w:val="24"/>
        </w:rPr>
      </w:pPr>
      <w:r>
        <w:rPr>
          <w:rFonts w:hint="eastAsia" w:ascii="宋体" w:hAnsi="宋体" w:eastAsia="宋体" w:cs="宋体"/>
          <w:sz w:val="24"/>
        </w:rPr>
        <w:t>1) 采购单位组建验收小组，验收小组由单位技术人员及相关人员等组成，按</w:t>
      </w:r>
      <w:r>
        <w:rPr>
          <w:rFonts w:hint="eastAsia" w:ascii="宋体" w:hAnsi="宋体" w:eastAsia="宋体" w:cs="宋体"/>
          <w:bCs/>
          <w:sz w:val="24"/>
        </w:rPr>
        <w:t>采购合同约定的时间组织验收。</w:t>
      </w:r>
    </w:p>
    <w:p>
      <w:pPr>
        <w:spacing w:line="480" w:lineRule="exact"/>
        <w:ind w:firstLine="480" w:firstLineChars="200"/>
        <w:rPr>
          <w:rFonts w:hint="eastAsia" w:ascii="宋体" w:hAnsi="宋体" w:eastAsia="宋体" w:cs="宋体"/>
          <w:bCs/>
          <w:sz w:val="24"/>
        </w:rPr>
      </w:pPr>
      <w:r>
        <w:rPr>
          <w:rFonts w:hint="eastAsia" w:ascii="宋体" w:hAnsi="宋体" w:eastAsia="宋体" w:cs="宋体"/>
          <w:sz w:val="24"/>
        </w:rPr>
        <w:t xml:space="preserve">2) </w:t>
      </w:r>
      <w:r>
        <w:rPr>
          <w:rFonts w:hint="eastAsia" w:ascii="宋体" w:hAnsi="宋体" w:eastAsia="宋体" w:cs="宋体"/>
          <w:bCs/>
          <w:sz w:val="24"/>
        </w:rPr>
        <w:t>从政府采购评审专家库中抽取专业评委参与验收的，验收费由中标人支付。</w:t>
      </w:r>
    </w:p>
    <w:p>
      <w:pPr>
        <w:topLinePunct/>
        <w:spacing w:line="480" w:lineRule="exact"/>
        <w:ind w:firstLine="482" w:firstLineChars="200"/>
        <w:rPr>
          <w:rFonts w:hint="eastAsia" w:ascii="宋体" w:hAnsi="宋体" w:eastAsia="宋体" w:cs="宋体"/>
          <w:b/>
          <w:sz w:val="24"/>
        </w:rPr>
      </w:pPr>
      <w:r>
        <w:rPr>
          <w:rFonts w:hint="eastAsia" w:ascii="宋体" w:hAnsi="宋体" w:eastAsia="宋体" w:cs="宋体"/>
          <w:b/>
          <w:sz w:val="24"/>
        </w:rPr>
        <w:t>37.中标服务费</w:t>
      </w:r>
    </w:p>
    <w:bookmarkEnd w:id="18"/>
    <w:bookmarkEnd w:id="19"/>
    <w:bookmarkEnd w:id="20"/>
    <w:bookmarkEnd w:id="21"/>
    <w:bookmarkEnd w:id="22"/>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1）本项目招标代理费参照国家计委《招标代理服务收费管理暂行办法》（计价格[2002]1980号）和国家发展改革委办公厅《关于招标代理服务收费有关问题的通知》（发改办价格[2003]857号）和“国家发展改革委关于降低部分建设项目收费标准规范收费行为等有关问题的通知（发改价格［2011］534号）等有关规定计取，由中标单位支付。</w:t>
      </w:r>
    </w:p>
    <w:p>
      <w:pPr>
        <w:spacing w:line="480" w:lineRule="exact"/>
        <w:ind w:firstLine="480" w:firstLineChars="200"/>
        <w:rPr>
          <w:rFonts w:hint="eastAsia" w:ascii="宋体" w:hAnsi="宋体" w:eastAsia="宋体" w:cs="宋体"/>
          <w:sz w:val="24"/>
        </w:rPr>
      </w:pPr>
      <w:r>
        <w:rPr>
          <w:rFonts w:hint="eastAsia" w:ascii="宋体" w:hAnsi="宋体" w:eastAsia="宋体" w:cs="宋体"/>
          <w:sz w:val="24"/>
        </w:rPr>
        <w:t>2）公证费等相关费按现行国家、省、市有关规定计取，由中标单位支付。</w:t>
      </w:r>
    </w:p>
    <w:p>
      <w:pPr>
        <w:pStyle w:val="2"/>
        <w:rPr>
          <w:rFonts w:hint="eastAsia" w:ascii="宋体" w:hAnsi="宋体" w:eastAsia="宋体" w:cs="宋体"/>
          <w:sz w:val="24"/>
        </w:rPr>
      </w:pPr>
    </w:p>
    <w:p>
      <w:pPr>
        <w:keepNext/>
        <w:keepLines/>
        <w:tabs>
          <w:tab w:val="left" w:pos="1260"/>
        </w:tabs>
        <w:spacing w:line="700" w:lineRule="exact"/>
        <w:jc w:val="center"/>
        <w:outlineLvl w:val="1"/>
        <w:rPr>
          <w:rFonts w:hint="eastAsia" w:ascii="宋体" w:hAnsi="宋体" w:eastAsia="宋体" w:cs="宋体"/>
          <w:sz w:val="32"/>
          <w:szCs w:val="32"/>
          <w:lang w:eastAsia="zh-CN"/>
        </w:rPr>
      </w:pPr>
      <w:r>
        <w:rPr>
          <w:rFonts w:hint="eastAsia" w:ascii="宋体" w:hAnsi="宋体" w:eastAsia="宋体" w:cs="宋体"/>
          <w:sz w:val="32"/>
          <w:szCs w:val="32"/>
          <w:lang w:val="en-US" w:eastAsia="zh-CN"/>
        </w:rPr>
        <w:t>七、质疑与接收</w:t>
      </w:r>
    </w:p>
    <w:p>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1、供应商认为</w:t>
      </w:r>
      <w:r>
        <w:rPr>
          <w:rFonts w:hint="eastAsia" w:ascii="宋体" w:hAnsi="宋体" w:cs="宋体"/>
          <w:sz w:val="24"/>
          <w:lang w:val="en-US" w:eastAsia="zh-CN"/>
        </w:rPr>
        <w:t>招标</w:t>
      </w:r>
      <w:r>
        <w:rPr>
          <w:rFonts w:hint="eastAsia" w:ascii="宋体" w:hAnsi="宋体" w:eastAsia="宋体" w:cs="宋体"/>
          <w:sz w:val="24"/>
          <w:lang w:eastAsia="zh-CN"/>
        </w:rPr>
        <w:t>文件、</w:t>
      </w:r>
      <w:r>
        <w:rPr>
          <w:rFonts w:hint="eastAsia" w:ascii="宋体" w:hAnsi="宋体" w:cs="宋体"/>
          <w:sz w:val="24"/>
          <w:lang w:val="en-US" w:eastAsia="zh-CN"/>
        </w:rPr>
        <w:t>招标</w:t>
      </w:r>
      <w:r>
        <w:rPr>
          <w:rFonts w:hint="eastAsia" w:ascii="宋体" w:hAnsi="宋体" w:eastAsia="宋体" w:cs="宋体"/>
          <w:sz w:val="24"/>
          <w:lang w:eastAsia="zh-CN"/>
        </w:rPr>
        <w:t>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质疑供应商应按照财政部制定的《政府采购质疑函范本》格式（可从财政部官方网站下载）和《政府采购质疑和投诉办法》的要求，在法定质疑期内以书面形式提出质疑，针对同一采购程序环节的质疑应一次性提出。</w:t>
      </w:r>
    </w:p>
    <w:p>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超出法定质疑期的、重复提出的、分次提出的或内容、形式不符合《政府采购质疑和投诉办法》的，质疑供应商将依法承担不利后果。</w:t>
      </w:r>
    </w:p>
    <w:p>
      <w:pPr>
        <w:spacing w:line="48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3、</w:t>
      </w:r>
      <w:r>
        <w:rPr>
          <w:rFonts w:hint="eastAsia" w:ascii="宋体" w:hAnsi="宋体" w:eastAsia="宋体" w:cs="宋体"/>
          <w:sz w:val="24"/>
          <w:lang w:eastAsia="zh-CN"/>
        </w:rPr>
        <w:t>接受质疑的单位：临沂正旭建设项目管理有限公司，电话：</w:t>
      </w:r>
      <w:r>
        <w:rPr>
          <w:rFonts w:hint="eastAsia" w:ascii="宋体" w:hAnsi="宋体" w:eastAsia="宋体" w:cs="宋体"/>
          <w:sz w:val="24"/>
          <w:lang w:val="en-US" w:eastAsia="zh-CN"/>
        </w:rPr>
        <w:t>0539-7977896，</w:t>
      </w:r>
      <w:r>
        <w:rPr>
          <w:rFonts w:hint="eastAsia" w:ascii="宋体" w:hAnsi="宋体" w:eastAsia="宋体" w:cs="宋体"/>
          <w:sz w:val="24"/>
          <w:lang w:eastAsia="zh-CN"/>
        </w:rPr>
        <w:t>联系地址：临沂市北城新区北京路与沭河路交汇红日大厦807室</w:t>
      </w:r>
    </w:p>
    <w:p>
      <w:pPr>
        <w:rPr>
          <w:rFonts w:hint="eastAsia"/>
        </w:rPr>
      </w:pPr>
    </w:p>
    <w:p>
      <w:pPr>
        <w:rPr>
          <w:rFonts w:hint="eastAsia" w:ascii="宋体" w:hAnsi="宋体" w:eastAsia="宋体" w:cs="宋体"/>
          <w:sz w:val="24"/>
        </w:rPr>
      </w:pPr>
      <w:r>
        <w:rPr>
          <w:rFonts w:hint="eastAsia" w:ascii="宋体" w:hAnsi="宋体" w:eastAsia="宋体" w:cs="宋体"/>
          <w:sz w:val="24"/>
        </w:rPr>
        <w:br w:type="page"/>
      </w:r>
    </w:p>
    <w:p>
      <w:pPr>
        <w:jc w:val="center"/>
        <w:rPr>
          <w:rFonts w:hint="eastAsia" w:ascii="宋体" w:hAnsi="宋体" w:eastAsia="宋体" w:cs="宋体"/>
          <w:b/>
          <w:bCs/>
          <w:color w:val="000000"/>
          <w:kern w:val="44"/>
          <w:sz w:val="32"/>
          <w:szCs w:val="32"/>
        </w:rPr>
      </w:pPr>
      <w:bookmarkStart w:id="23" w:name="_Toc76741789"/>
      <w:r>
        <w:rPr>
          <w:rFonts w:hint="eastAsia" w:ascii="宋体" w:hAnsi="宋体" w:eastAsia="宋体" w:cs="宋体"/>
          <w:b/>
          <w:bCs/>
          <w:color w:val="000000"/>
          <w:kern w:val="44"/>
          <w:sz w:val="32"/>
          <w:szCs w:val="32"/>
        </w:rPr>
        <w:t>第三章  项目概况及要求</w:t>
      </w:r>
      <w:bookmarkEnd w:id="23"/>
    </w:p>
    <w:p>
      <w:pPr>
        <w:pStyle w:val="8"/>
        <w:spacing w:line="338" w:lineRule="auto"/>
        <w:ind w:right="5916"/>
        <w:jc w:val="left"/>
        <w:rPr>
          <w:rFonts w:hint="eastAsia" w:ascii="宋体" w:hAnsi="宋体" w:eastAsia="宋体" w:cs="宋体"/>
          <w:sz w:val="24"/>
          <w:szCs w:val="24"/>
        </w:rPr>
      </w:pPr>
      <w:bookmarkStart w:id="24" w:name="_Toc76741790"/>
      <w:r>
        <w:rPr>
          <w:rFonts w:hint="eastAsia" w:ascii="宋体" w:hAnsi="宋体" w:eastAsia="宋体" w:cs="宋体"/>
          <w:sz w:val="24"/>
          <w:szCs w:val="24"/>
        </w:rPr>
        <w:t>一、项目概况</w:t>
      </w:r>
      <w:bookmarkEnd w:id="24"/>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eastAsia="zh-CN"/>
        </w:rPr>
        <w:t>山东省临沂卫生学校扩建项目图书信息综合楼</w:t>
      </w:r>
      <w:r>
        <w:rPr>
          <w:rFonts w:hint="eastAsia" w:ascii="宋体" w:hAnsi="宋体" w:cs="宋体"/>
          <w:sz w:val="24"/>
          <w:szCs w:val="24"/>
          <w:lang w:val="en-US" w:eastAsia="zh-CN"/>
        </w:rPr>
        <w:t>B区</w:t>
      </w:r>
      <w:r>
        <w:rPr>
          <w:rFonts w:hint="eastAsia" w:ascii="宋体" w:hAnsi="宋体" w:eastAsia="宋体" w:cs="宋体"/>
          <w:sz w:val="24"/>
          <w:szCs w:val="24"/>
          <w:lang w:eastAsia="zh-CN"/>
        </w:rPr>
        <w:t>图书馆</w:t>
      </w:r>
      <w:r>
        <w:rPr>
          <w:rFonts w:hint="eastAsia" w:ascii="宋体" w:hAnsi="宋体" w:cs="宋体"/>
          <w:sz w:val="24"/>
          <w:szCs w:val="24"/>
          <w:lang w:eastAsia="zh-CN"/>
        </w:rPr>
        <w:t>及大厅</w:t>
      </w:r>
      <w:r>
        <w:rPr>
          <w:rFonts w:hint="eastAsia" w:ascii="宋体" w:hAnsi="宋体" w:eastAsia="宋体" w:cs="宋体"/>
          <w:sz w:val="24"/>
          <w:szCs w:val="24"/>
          <w:lang w:eastAsia="zh-CN"/>
        </w:rPr>
        <w:t>装饰工程。</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rPr>
        <w:t>2、</w:t>
      </w:r>
      <w:r>
        <w:rPr>
          <w:rFonts w:hint="eastAsia" w:ascii="宋体" w:hAnsi="宋体" w:eastAsia="宋体" w:cs="宋体"/>
          <w:b/>
          <w:bCs/>
          <w:sz w:val="24"/>
          <w:szCs w:val="24"/>
        </w:rPr>
        <w:t>工期</w:t>
      </w:r>
      <w:r>
        <w:rPr>
          <w:rFonts w:hint="eastAsia" w:ascii="宋体" w:hAnsi="宋体" w:eastAsia="宋体" w:cs="宋体"/>
          <w:b/>
          <w:bCs/>
          <w:sz w:val="24"/>
          <w:szCs w:val="24"/>
          <w:highlight w:val="none"/>
        </w:rPr>
        <w:t>：</w:t>
      </w:r>
      <w:r>
        <w:rPr>
          <w:rFonts w:hint="eastAsia" w:ascii="宋体" w:hAnsi="宋体" w:cs="宋体"/>
          <w:b/>
          <w:bCs/>
          <w:sz w:val="24"/>
          <w:szCs w:val="24"/>
          <w:highlight w:val="none"/>
          <w:u w:val="single"/>
          <w:lang w:val="en-US" w:eastAsia="zh-CN"/>
        </w:rPr>
        <w:t xml:space="preserve">  5</w:t>
      </w:r>
      <w:r>
        <w:rPr>
          <w:rFonts w:hint="eastAsia" w:ascii="宋体" w:hAnsi="宋体" w:eastAsia="宋体" w:cs="宋体"/>
          <w:b/>
          <w:bCs/>
          <w:sz w:val="24"/>
          <w:szCs w:val="24"/>
          <w:u w:val="single"/>
          <w:lang w:val="en-US" w:eastAsia="zh-CN"/>
        </w:rPr>
        <w:t>0</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lang w:val="en-US" w:eastAsia="zh-CN"/>
        </w:rPr>
        <w:t>日历天</w:t>
      </w:r>
      <w:r>
        <w:rPr>
          <w:rFonts w:hint="eastAsia" w:ascii="宋体" w:hAnsi="宋体" w:eastAsia="宋体" w:cs="宋体"/>
          <w:b/>
          <w:bCs/>
          <w:sz w:val="24"/>
          <w:szCs w:val="24"/>
        </w:rPr>
        <w:t>。</w:t>
      </w:r>
      <w:r>
        <w:rPr>
          <w:rFonts w:hint="eastAsia" w:ascii="宋体" w:hAnsi="宋体" w:eastAsia="宋体" w:cs="宋体"/>
          <w:b/>
          <w:bCs/>
          <w:sz w:val="24"/>
          <w:szCs w:val="24"/>
          <w:highlight w:val="none"/>
          <w:lang w:eastAsia="zh-CN"/>
        </w:rPr>
        <w:t>投标书中的工期由投标单位自行确定，但不得超过</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0日历天。按照投标书中的工期，承包方每拖延一天竣工交付使用本工程，承包方按工程结算价的万分之三支付给发包方工期拖延违约金。</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3、工程地点：</w:t>
      </w:r>
      <w:r>
        <w:rPr>
          <w:rFonts w:hint="eastAsia" w:ascii="宋体" w:hAnsi="宋体" w:eastAsia="宋体" w:cs="宋体"/>
          <w:sz w:val="24"/>
          <w:szCs w:val="24"/>
          <w:lang w:eastAsia="zh-CN"/>
        </w:rPr>
        <w:t>山东省临沂卫生学校</w:t>
      </w:r>
      <w:r>
        <w:rPr>
          <w:rFonts w:hint="eastAsia" w:ascii="宋体" w:hAnsi="宋体" w:eastAsia="宋体" w:cs="宋体"/>
          <w:bCs/>
          <w:sz w:val="24"/>
          <w:szCs w:val="24"/>
          <w:lang w:eastAsia="zh-CN"/>
        </w:rPr>
        <w:t>。</w:t>
      </w:r>
    </w:p>
    <w:p>
      <w:pPr>
        <w:keepNext w:val="0"/>
        <w:keepLines w:val="0"/>
        <w:pageBreakBefore w:val="0"/>
        <w:widowControl w:val="0"/>
        <w:tabs>
          <w:tab w:val="left" w:pos="6870"/>
        </w:tabs>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4、</w:t>
      </w:r>
      <w:r>
        <w:rPr>
          <w:rFonts w:hint="eastAsia" w:ascii="宋体" w:hAnsi="宋体" w:eastAsia="宋体" w:cs="宋体"/>
          <w:b/>
          <w:bCs w:val="0"/>
          <w:color w:val="auto"/>
          <w:sz w:val="24"/>
          <w:szCs w:val="24"/>
          <w:highlight w:val="none"/>
        </w:rPr>
        <w:t>质量要求：必须符合现行国家质量验收</w:t>
      </w:r>
      <w:r>
        <w:rPr>
          <w:rFonts w:hint="eastAsia" w:ascii="宋体" w:hAnsi="宋体" w:eastAsia="宋体" w:cs="宋体"/>
          <w:b/>
          <w:bCs w:val="0"/>
          <w:color w:val="auto"/>
          <w:sz w:val="24"/>
          <w:szCs w:val="24"/>
          <w:highlight w:val="none"/>
          <w:lang w:eastAsia="zh-CN"/>
        </w:rPr>
        <w:t>标准的市优标准</w:t>
      </w:r>
      <w:r>
        <w:rPr>
          <w:rFonts w:hint="eastAsia" w:ascii="宋体" w:hAnsi="宋体" w:eastAsia="宋体" w:cs="宋体"/>
          <w:b/>
          <w:bCs w:val="0"/>
          <w:color w:val="auto"/>
          <w:sz w:val="24"/>
          <w:szCs w:val="24"/>
          <w:highlight w:val="none"/>
        </w:rPr>
        <w:t>。</w:t>
      </w:r>
      <w:r>
        <w:rPr>
          <w:rFonts w:hint="eastAsia" w:ascii="宋体" w:hAnsi="宋体" w:eastAsia="宋体" w:cs="宋体"/>
          <w:color w:val="auto"/>
          <w:sz w:val="24"/>
          <w:szCs w:val="24"/>
          <w:highlight w:val="none"/>
          <w:lang w:eastAsia="zh-CN"/>
        </w:rPr>
        <w:t>工程施工期间按要求整理施工过程资料，施工完成根据建设工程存档要求、创奖要求及有关部门规定提供完整竣工验收资料四份及电子版全套资料一份。</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5、付款方式：</w:t>
      </w:r>
      <w:r>
        <w:rPr>
          <w:rFonts w:hint="eastAsia" w:ascii="宋体" w:hAnsi="宋体" w:eastAsia="宋体" w:cs="宋体"/>
          <w:color w:val="auto"/>
          <w:sz w:val="24"/>
          <w:szCs w:val="24"/>
          <w:highlight w:val="none"/>
          <w:lang w:val="en-US" w:eastAsia="zh-CN"/>
        </w:rPr>
        <w:t>合同签订后10日内承包人应将预付款保函交付至发包人，发包人在收到预付款保函后10日内为其办理预付款拨款手续，并将预付款一次性支付给承包人，拨付合同额（扣除暂列金）30%为预付款，工程形象进度产值≥合同额（扣除暂列金）30%，按工程形象进度的80%拨付进度款（预付款一次性扣回），竣工验收合格且经财政部门结算审核完成后拨付至结算价款的97%，剩余3%为质保金，保修期满后无质量问题一次性无息付清余款。</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承包人应在发包人支付预付款3天前将预付款担保手续交由发包人，预付款担保形式仅限于现金或银行担保函，采用银行担保函的必须为县级以上国有银行出具，且担保期不能低于合同约定的施工工期， 担保金额必须&gt;同期预付款金额。</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（保修期自工程通过竣工验收合格之日起计算，保修期两年）</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ind w:right="0" w:firstLine="480" w:firstLineChars="200"/>
        <w:jc w:val="both"/>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保修期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本工程质量保修期</w:t>
      </w:r>
      <w:r>
        <w:rPr>
          <w:rFonts w:hint="eastAsia" w:ascii="宋体" w:hAnsi="宋体" w:eastAsia="宋体" w:cs="宋体"/>
          <w:color w:val="auto"/>
          <w:sz w:val="24"/>
          <w:szCs w:val="24"/>
          <w:highlight w:val="none"/>
          <w:u w:val="single"/>
        </w:rPr>
        <w:t>两</w:t>
      </w:r>
      <w:r>
        <w:rPr>
          <w:rFonts w:hint="eastAsia" w:ascii="宋体" w:hAnsi="宋体" w:eastAsia="宋体" w:cs="宋体"/>
          <w:color w:val="auto"/>
          <w:sz w:val="24"/>
          <w:szCs w:val="24"/>
          <w:highlight w:val="none"/>
        </w:rPr>
        <w:t>年。</w:t>
      </w:r>
    </w:p>
    <w:p>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360" w:lineRule="auto"/>
        <w:ind w:right="0" w:firstLine="482" w:firstLineChars="200"/>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本项目工程实行</w:t>
      </w:r>
      <w:r>
        <w:rPr>
          <w:rFonts w:hint="eastAsia" w:ascii="宋体" w:hAnsi="宋体" w:eastAsia="宋体" w:cs="宋体"/>
          <w:b/>
          <w:bCs/>
          <w:color w:val="auto"/>
          <w:sz w:val="24"/>
          <w:szCs w:val="24"/>
          <w:highlight w:val="none"/>
          <w:lang w:val="en-US" w:eastAsia="zh-CN"/>
        </w:rPr>
        <w:t>固定</w:t>
      </w:r>
      <w:r>
        <w:rPr>
          <w:rFonts w:hint="eastAsia" w:ascii="宋体" w:hAnsi="宋体" w:cs="宋体"/>
          <w:b/>
          <w:bCs/>
          <w:color w:val="auto"/>
          <w:sz w:val="24"/>
          <w:szCs w:val="24"/>
          <w:highlight w:val="none"/>
          <w:lang w:val="en-US" w:eastAsia="zh-CN"/>
        </w:rPr>
        <w:t>综合</w:t>
      </w:r>
      <w:r>
        <w:rPr>
          <w:rFonts w:hint="eastAsia" w:ascii="宋体" w:hAnsi="宋体" w:eastAsia="宋体" w:cs="宋体"/>
          <w:b/>
          <w:bCs/>
          <w:color w:val="auto"/>
          <w:sz w:val="24"/>
          <w:szCs w:val="24"/>
          <w:highlight w:val="none"/>
          <w:lang w:val="en-US" w:eastAsia="zh-CN"/>
        </w:rPr>
        <w:t>单价合同</w:t>
      </w:r>
      <w:r>
        <w:rPr>
          <w:rFonts w:hint="eastAsia" w:ascii="宋体" w:hAnsi="宋体" w:eastAsia="宋体" w:cs="宋体"/>
          <w:b/>
          <w:bCs/>
          <w:color w:val="auto"/>
          <w:sz w:val="24"/>
          <w:szCs w:val="24"/>
          <w:highlight w:val="none"/>
          <w:lang w:eastAsia="zh-CN"/>
        </w:rPr>
        <w:t>，工程量据实结算，所有材料不因材料价格上涨而调整。</w:t>
      </w:r>
    </w:p>
    <w:p>
      <w:pPr>
        <w:keepNext w:val="0"/>
        <w:keepLines w:val="0"/>
        <w:pageBreakBefore w:val="0"/>
        <w:numPr>
          <w:ilvl w:val="0"/>
          <w:numId w:val="9"/>
        </w:numPr>
        <w:kinsoku/>
        <w:wordWrap/>
        <w:overflowPunct/>
        <w:topLinePunct w:val="0"/>
        <w:bidi w:val="0"/>
        <w:snapToGrid/>
        <w:spacing w:line="460" w:lineRule="exact"/>
        <w:ind w:left="0" w:leftChars="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技术参数要求</w:t>
      </w:r>
    </w:p>
    <w:p>
      <w:pPr>
        <w:keepNext w:val="0"/>
        <w:keepLines w:val="0"/>
        <w:pageBreakBefore w:val="0"/>
        <w:numPr>
          <w:ilvl w:val="0"/>
          <w:numId w:val="0"/>
        </w:numPr>
        <w:kinsoku/>
        <w:wordWrap/>
        <w:overflowPunct/>
        <w:topLinePunct w:val="0"/>
        <w:bidi w:val="0"/>
        <w:snapToGrid/>
        <w:spacing w:line="460" w:lineRule="exact"/>
        <w:ind w:left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）型材：要求选用中高端品牌，所用钢方管、角钢、</w:t>
      </w:r>
      <w:r>
        <w:rPr>
          <w:rFonts w:hint="eastAsia" w:ascii="宋体" w:hAnsi="宋体"/>
          <w:color w:val="auto"/>
          <w:sz w:val="24"/>
          <w:szCs w:val="24"/>
          <w:highlight w:val="none"/>
          <w:lang w:val="en-US" w:eastAsia="zh-CN"/>
        </w:rPr>
        <w:t>H钢、工字钢厚度应为国标产品，均为热镀锌材质。</w:t>
      </w:r>
    </w:p>
    <w:p>
      <w:pPr>
        <w:keepNext w:val="0"/>
        <w:keepLines w:val="0"/>
        <w:pageBreakBefore w:val="0"/>
        <w:numPr>
          <w:ilvl w:val="0"/>
          <w:numId w:val="0"/>
        </w:numPr>
        <w:kinsoku/>
        <w:wordWrap/>
        <w:overflowPunct/>
        <w:topLinePunct w:val="0"/>
        <w:bidi w:val="0"/>
        <w:snapToGrid/>
        <w:spacing w:line="460" w:lineRule="exact"/>
        <w:ind w:left="446" w:leftChars="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（2）内墙砖、地板砖、室外防滑地砖：品牌为国内知名、中高端以上品牌、全国十大品牌，厚度为国标，颜色以建设单位确定颜色为准。</w:t>
      </w:r>
    </w:p>
    <w:p>
      <w:pPr>
        <w:pStyle w:val="84"/>
        <w:keepNext w:val="0"/>
        <w:keepLines w:val="0"/>
        <w:pageBreakBefore w:val="0"/>
        <w:numPr>
          <w:ilvl w:val="0"/>
          <w:numId w:val="0"/>
        </w:numPr>
        <w:kinsoku/>
        <w:wordWrap/>
        <w:overflowPunct/>
        <w:topLinePunct w:val="0"/>
        <w:bidi w:val="0"/>
        <w:snapToGrid/>
        <w:spacing w:line="460" w:lineRule="exact"/>
        <w:ind w:leftChars="0" w:firstLine="468"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（3）所用密封胶：为中高端品牌。</w:t>
      </w:r>
    </w:p>
    <w:p>
      <w:pPr>
        <w:pStyle w:val="84"/>
        <w:keepNext w:val="0"/>
        <w:keepLines w:val="0"/>
        <w:pageBreakBefore w:val="0"/>
        <w:numPr>
          <w:ilvl w:val="0"/>
          <w:numId w:val="0"/>
        </w:numPr>
        <w:kinsoku/>
        <w:wordWrap/>
        <w:overflowPunct/>
        <w:topLinePunct w:val="0"/>
        <w:bidi w:val="0"/>
        <w:snapToGrid/>
        <w:spacing w:line="460" w:lineRule="exact"/>
        <w:ind w:leftChars="0" w:firstLine="468"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（4）吊顶木工板、石膏板、铝扣板：国标产品、中高端品牌。</w:t>
      </w:r>
    </w:p>
    <w:p>
      <w:pPr>
        <w:pStyle w:val="84"/>
        <w:keepNext w:val="0"/>
        <w:keepLines w:val="0"/>
        <w:pageBreakBefore w:val="0"/>
        <w:numPr>
          <w:ilvl w:val="0"/>
          <w:numId w:val="0"/>
        </w:numPr>
        <w:kinsoku/>
        <w:wordWrap/>
        <w:overflowPunct/>
        <w:topLinePunct w:val="0"/>
        <w:bidi w:val="0"/>
        <w:snapToGrid/>
        <w:spacing w:line="460" w:lineRule="exact"/>
        <w:ind w:leftChars="0" w:firstLine="468"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（5）内门材质应符合图纸要求，品牌应为中高端产品，色泽以建设单位确定为准，五金件应为304材质，门锁应为中高端品牌。</w:t>
      </w:r>
    </w:p>
    <w:p>
      <w:pPr>
        <w:pStyle w:val="84"/>
        <w:keepNext w:val="0"/>
        <w:keepLines w:val="0"/>
        <w:pageBreakBefore w:val="0"/>
        <w:numPr>
          <w:ilvl w:val="0"/>
          <w:numId w:val="0"/>
        </w:numPr>
        <w:kinsoku/>
        <w:wordWrap/>
        <w:overflowPunct/>
        <w:topLinePunct w:val="0"/>
        <w:bidi w:val="0"/>
        <w:snapToGrid/>
        <w:spacing w:line="460" w:lineRule="exact"/>
        <w:ind w:leftChars="0" w:firstLine="468"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（6）墙砖干挂墙面：墙砖规格厚度应符合设计要求，缝口倒角应符合设计图纸。龙骨规格、间距、后置埋板及化学螺栓设置应符合要求。</w:t>
      </w:r>
    </w:p>
    <w:p>
      <w:pPr>
        <w:pStyle w:val="84"/>
        <w:keepNext w:val="0"/>
        <w:keepLines w:val="0"/>
        <w:pageBreakBefore w:val="0"/>
        <w:numPr>
          <w:ilvl w:val="0"/>
          <w:numId w:val="0"/>
        </w:numPr>
        <w:kinsoku/>
        <w:wordWrap/>
        <w:overflowPunct/>
        <w:topLinePunct w:val="0"/>
        <w:bidi w:val="0"/>
        <w:snapToGrid/>
        <w:spacing w:line="460" w:lineRule="exact"/>
        <w:ind w:leftChars="0" w:firstLine="468"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（7）外装施工质量应达到国家、省、市有关规范、标准、规定执行，按规定进行相关的现场检测、材料试验，试验次数符合相关要求。</w:t>
      </w:r>
    </w:p>
    <w:p>
      <w:pPr>
        <w:pStyle w:val="84"/>
        <w:keepNext w:val="0"/>
        <w:keepLines w:val="0"/>
        <w:pageBreakBefore w:val="0"/>
        <w:numPr>
          <w:ilvl w:val="0"/>
          <w:numId w:val="0"/>
        </w:numPr>
        <w:kinsoku/>
        <w:wordWrap/>
        <w:overflowPunct/>
        <w:topLinePunct w:val="0"/>
        <w:bidi w:val="0"/>
        <w:snapToGrid/>
        <w:spacing w:line="460" w:lineRule="exact"/>
        <w:ind w:leftChars="0" w:firstLine="468" w:firstLineChars="200"/>
        <w:textAlignment w:val="auto"/>
        <w:rPr>
          <w:rFonts w:hint="eastAsia"/>
          <w:color w:val="auto"/>
          <w:highlight w:val="none"/>
        </w:rPr>
      </w:pPr>
      <w:r>
        <w:rPr>
          <w:rFonts w:hint="eastAsia" w:ascii="宋体" w:hAnsi="宋体"/>
          <w:color w:val="auto"/>
          <w:sz w:val="24"/>
          <w:szCs w:val="24"/>
          <w:highlight w:val="none"/>
          <w:lang w:val="en-US" w:eastAsia="zh-CN"/>
        </w:rPr>
        <w:t xml:space="preserve"> 本技术要求如有不详参见国家质量验收标准、规范、地方规定执行。</w:t>
      </w:r>
    </w:p>
    <w:p>
      <w:pPr>
        <w:pStyle w:val="8"/>
        <w:spacing w:line="338" w:lineRule="auto"/>
        <w:ind w:right="5916"/>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、其他说明</w:t>
      </w:r>
    </w:p>
    <w:p>
      <w:pPr>
        <w:pStyle w:val="2"/>
        <w:spacing w:line="336" w:lineRule="auto"/>
        <w:ind w:right="185"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1.投标单位应充分了解工程项目的位置、道路、装卸限制及其他足以影响报价的情</w:t>
      </w:r>
      <w:r>
        <w:rPr>
          <w:rFonts w:hint="eastAsia" w:ascii="宋体" w:hAnsi="宋体" w:eastAsia="宋体" w:cs="宋体"/>
          <w:color w:val="auto"/>
          <w:sz w:val="24"/>
          <w:szCs w:val="24"/>
          <w:highlight w:val="none"/>
        </w:rPr>
        <w:t>况；任何因疏忽或误解工程项目道路等情况而导致的索赔或工期延长申请将不被批准；</w:t>
      </w:r>
    </w:p>
    <w:p>
      <w:pPr>
        <w:pStyle w:val="2"/>
        <w:spacing w:before="29" w:line="336" w:lineRule="auto"/>
        <w:ind w:right="231"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2.供应商应对本项目的商务条款响应情况进行说明，若有偏差须在投标文件商务标书《商务条款偏离表》中予以说明；若没有，应注明“无偏离”字样。若没有填写《商</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pacing w:val="-2"/>
          <w:sz w:val="24"/>
          <w:szCs w:val="24"/>
          <w:highlight w:val="none"/>
        </w:rPr>
        <w:t>务条款偏离表》，即视为供应商声明其完全响应</w:t>
      </w: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rPr>
        <w:t>文件的商务条款；但评标委员会有</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权据此就商务标书中实际不响应部分作出废标的决定。</w:t>
      </w:r>
    </w:p>
    <w:p>
      <w:pPr>
        <w:pStyle w:val="2"/>
        <w:spacing w:before="29" w:line="338" w:lineRule="auto"/>
        <w:ind w:right="231"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2"/>
          <w:sz w:val="24"/>
          <w:szCs w:val="24"/>
          <w:highlight w:val="none"/>
        </w:rPr>
        <w:t>3.供应商应对其所报方案的技术指标响应情况进行说明，若有偏差须在投标文件技术标书《技术条款偏离表》中予以说明；若没有，应注明“无偏离”字样。若没有填写《技术条款偏离表》，即视为供应商声明其所报方案的技术指标完全符合</w:t>
      </w: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rPr>
        <w:t>文件技术</w:t>
      </w:r>
      <w:r>
        <w:rPr>
          <w:rFonts w:hint="eastAsia" w:ascii="宋体" w:hAnsi="宋体" w:eastAsia="宋体" w:cs="宋体"/>
          <w:color w:val="auto"/>
          <w:spacing w:val="-95"/>
          <w:sz w:val="24"/>
          <w:szCs w:val="24"/>
          <w:highlight w:val="none"/>
        </w:rPr>
        <w:t xml:space="preserve"> </w:t>
      </w:r>
      <w:r>
        <w:rPr>
          <w:rFonts w:hint="eastAsia" w:ascii="宋体" w:hAnsi="宋体" w:eastAsia="宋体" w:cs="宋体"/>
          <w:color w:val="auto"/>
          <w:sz w:val="24"/>
          <w:szCs w:val="24"/>
          <w:highlight w:val="none"/>
        </w:rPr>
        <w:t>规范的要求；但</w:t>
      </w:r>
      <w:r>
        <w:rPr>
          <w:rFonts w:hint="eastAsia" w:ascii="宋体" w:hAnsi="宋体" w:eastAsia="宋体" w:cs="宋体"/>
          <w:b w:val="0"/>
          <w:bCs w:val="0"/>
          <w:color w:val="auto"/>
          <w:sz w:val="24"/>
          <w:szCs w:val="24"/>
          <w:highlight w:val="none"/>
        </w:rPr>
        <w:t>评标委员会有权据此就技术标书中实际不响应部分作出废标的决定。</w:t>
      </w:r>
    </w:p>
    <w:p>
      <w:pPr>
        <w:pStyle w:val="2"/>
        <w:spacing w:before="29" w:line="338" w:lineRule="auto"/>
        <w:ind w:right="231" w:firstLine="48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2"/>
          <w:sz w:val="24"/>
          <w:szCs w:val="24"/>
          <w:highlight w:val="none"/>
          <w:lang w:val="en-US" w:eastAsia="zh-CN"/>
        </w:rPr>
        <w:t>4.</w:t>
      </w:r>
      <w:r>
        <w:rPr>
          <w:rFonts w:hint="eastAsia" w:ascii="宋体" w:hAnsi="宋体" w:eastAsia="宋体" w:cs="宋体"/>
          <w:b w:val="0"/>
          <w:bCs w:val="0"/>
          <w:color w:val="auto"/>
          <w:spacing w:val="-2"/>
          <w:sz w:val="24"/>
          <w:szCs w:val="24"/>
          <w:highlight w:val="none"/>
        </w:rPr>
        <w:t>招标文件中如果涉及到品牌、型号等，并不表明该标的被指定，而是仅供投标人参考，投标人所投报的产品只要性能达到或超过招标文件要求，没有重大偏离，都将被视为对招标文件作出了实质性响应。</w:t>
      </w:r>
    </w:p>
    <w:p>
      <w:pPr>
        <w:tabs>
          <w:tab w:val="left" w:pos="0"/>
        </w:tabs>
        <w:spacing w:line="48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项目说明</w:t>
      </w:r>
    </w:p>
    <w:p>
      <w:pPr>
        <w:tabs>
          <w:tab w:val="left" w:pos="0"/>
        </w:tabs>
        <w:spacing w:line="480" w:lineRule="exact"/>
        <w:ind w:firstLine="482" w:firstLineChars="200"/>
        <w:rPr>
          <w:rFonts w:hint="eastAsia" w:ascii="宋体" w:hAnsi="宋体" w:eastAsia="宋体" w:cs="宋体"/>
          <w:b/>
          <w:color w:val="auto"/>
          <w:sz w:val="24"/>
          <w:szCs w:val="24"/>
          <w:highlight w:val="none"/>
          <w:u w:val="doubl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u w:val="none"/>
        </w:rPr>
        <w:t>本项目为</w:t>
      </w:r>
      <w:r>
        <w:rPr>
          <w:rFonts w:hint="eastAsia" w:ascii="宋体" w:hAnsi="宋体" w:eastAsia="宋体" w:cs="宋体"/>
          <w:b/>
          <w:color w:val="auto"/>
          <w:sz w:val="24"/>
          <w:szCs w:val="24"/>
          <w:highlight w:val="none"/>
          <w:u w:val="none"/>
          <w:lang w:eastAsia="zh-CN"/>
        </w:rPr>
        <w:t>山东省临沂卫生学校扩建项目图书信息综合楼</w:t>
      </w:r>
      <w:r>
        <w:rPr>
          <w:rFonts w:hint="eastAsia" w:ascii="宋体" w:hAnsi="宋体" w:cs="宋体"/>
          <w:b/>
          <w:color w:val="auto"/>
          <w:sz w:val="24"/>
          <w:szCs w:val="24"/>
          <w:highlight w:val="none"/>
          <w:u w:val="none"/>
          <w:lang w:val="en-US" w:eastAsia="zh-CN"/>
        </w:rPr>
        <w:t>B区</w:t>
      </w:r>
      <w:r>
        <w:rPr>
          <w:rFonts w:hint="eastAsia" w:ascii="宋体" w:hAnsi="宋体" w:eastAsia="宋体" w:cs="宋体"/>
          <w:b/>
          <w:color w:val="auto"/>
          <w:sz w:val="24"/>
          <w:szCs w:val="24"/>
          <w:highlight w:val="none"/>
          <w:u w:val="none"/>
          <w:lang w:eastAsia="zh-CN"/>
        </w:rPr>
        <w:t>图书馆</w:t>
      </w:r>
      <w:r>
        <w:rPr>
          <w:rFonts w:hint="eastAsia" w:ascii="宋体" w:hAnsi="宋体" w:cs="宋体"/>
          <w:b/>
          <w:color w:val="auto"/>
          <w:sz w:val="24"/>
          <w:szCs w:val="24"/>
          <w:highlight w:val="none"/>
          <w:u w:val="none"/>
          <w:lang w:eastAsia="zh-CN"/>
        </w:rPr>
        <w:t>及大厅</w:t>
      </w:r>
      <w:r>
        <w:rPr>
          <w:rFonts w:hint="eastAsia" w:ascii="宋体" w:hAnsi="宋体" w:eastAsia="宋体" w:cs="宋体"/>
          <w:b/>
          <w:color w:val="auto"/>
          <w:sz w:val="24"/>
          <w:szCs w:val="24"/>
          <w:highlight w:val="none"/>
          <w:u w:val="none"/>
          <w:lang w:eastAsia="zh-CN"/>
        </w:rPr>
        <w:t>室内装饰工程</w:t>
      </w:r>
      <w:r>
        <w:rPr>
          <w:rFonts w:hint="eastAsia" w:ascii="宋体" w:hAnsi="宋体" w:eastAsia="宋体" w:cs="宋体"/>
          <w:color w:val="auto"/>
          <w:spacing w:val="-2"/>
          <w:kern w:val="0"/>
          <w:sz w:val="24"/>
          <w:szCs w:val="24"/>
          <w:highlight w:val="none"/>
        </w:rPr>
        <w:t>，</w:t>
      </w:r>
      <w:r>
        <w:rPr>
          <w:rFonts w:hint="eastAsia" w:ascii="宋体" w:hAnsi="宋体" w:eastAsia="宋体" w:cs="宋体"/>
          <w:b/>
          <w:bCs/>
          <w:color w:val="auto"/>
          <w:spacing w:val="-2"/>
          <w:kern w:val="0"/>
          <w:sz w:val="24"/>
          <w:szCs w:val="24"/>
          <w:highlight w:val="none"/>
          <w:lang w:val="en-US" w:eastAsia="zh-CN"/>
        </w:rPr>
        <w:t>具体内容详见</w:t>
      </w:r>
      <w:r>
        <w:rPr>
          <w:rFonts w:hint="eastAsia" w:ascii="宋体" w:hAnsi="宋体" w:eastAsia="宋体" w:cs="宋体"/>
          <w:b/>
          <w:bCs/>
          <w:color w:val="auto"/>
          <w:spacing w:val="-2"/>
          <w:kern w:val="0"/>
          <w:sz w:val="24"/>
          <w:szCs w:val="24"/>
          <w:highlight w:val="none"/>
        </w:rPr>
        <w:t>工程量清单。</w:t>
      </w:r>
    </w:p>
    <w:p>
      <w:pPr>
        <w:spacing w:line="480" w:lineRule="exact"/>
        <w:ind w:firstLine="482" w:firstLineChars="200"/>
        <w:jc w:val="left"/>
        <w:rPr>
          <w:rFonts w:hint="eastAsia" w:ascii="宋体" w:hAnsi="宋体" w:eastAsia="宋体" w:cs="宋体"/>
          <w:b/>
          <w:bCs/>
          <w:color w:val="auto"/>
          <w:sz w:val="24"/>
          <w:szCs w:val="24"/>
          <w:highlight w:val="none"/>
          <w:u w:val="double"/>
        </w:rPr>
      </w:pPr>
      <w:r>
        <w:rPr>
          <w:rFonts w:hint="eastAsia" w:ascii="宋体" w:hAnsi="宋体" w:eastAsia="宋体" w:cs="宋体"/>
          <w:b/>
          <w:bCs/>
          <w:color w:val="auto"/>
          <w:sz w:val="24"/>
          <w:szCs w:val="24"/>
          <w:highlight w:val="none"/>
        </w:rPr>
        <w:t>2、招标最高控制价：</w:t>
      </w:r>
      <w:r>
        <w:rPr>
          <w:rFonts w:hint="eastAsia" w:ascii="宋体" w:hAnsi="宋体" w:eastAsia="宋体" w:cs="宋体"/>
          <w:b/>
          <w:color w:val="auto"/>
          <w:spacing w:val="-2"/>
          <w:kern w:val="0"/>
          <w:sz w:val="24"/>
          <w:szCs w:val="24"/>
          <w:highlight w:val="none"/>
          <w:u w:val="single"/>
          <w:lang w:val="en-US" w:eastAsia="zh-CN"/>
        </w:rPr>
        <w:t xml:space="preserve"> </w:t>
      </w:r>
      <w:r>
        <w:rPr>
          <w:rFonts w:hint="eastAsia" w:ascii="宋体" w:hAnsi="宋体" w:cs="宋体"/>
          <w:b/>
          <w:color w:val="auto"/>
          <w:spacing w:val="-2"/>
          <w:kern w:val="0"/>
          <w:sz w:val="24"/>
          <w:szCs w:val="24"/>
          <w:highlight w:val="none"/>
          <w:u w:val="single"/>
          <w:lang w:val="en-US" w:eastAsia="zh-CN"/>
        </w:rPr>
        <w:t>213.47</w:t>
      </w:r>
      <w:r>
        <w:rPr>
          <w:rFonts w:hint="eastAsia" w:ascii="宋体" w:hAnsi="宋体" w:eastAsia="宋体" w:cs="宋体"/>
          <w:b/>
          <w:color w:val="auto"/>
          <w:spacing w:val="-2"/>
          <w:kern w:val="0"/>
          <w:sz w:val="24"/>
          <w:szCs w:val="24"/>
          <w:highlight w:val="none"/>
          <w:u w:val="single"/>
          <w:lang w:val="en-US" w:eastAsia="zh-CN"/>
        </w:rPr>
        <w:t xml:space="preserve"> </w:t>
      </w:r>
      <w:r>
        <w:rPr>
          <w:rFonts w:hint="eastAsia" w:ascii="宋体" w:hAnsi="宋体" w:eastAsia="宋体" w:cs="宋体"/>
          <w:b/>
          <w:color w:val="auto"/>
          <w:spacing w:val="-2"/>
          <w:kern w:val="0"/>
          <w:sz w:val="24"/>
          <w:szCs w:val="24"/>
          <w:highlight w:val="none"/>
          <w:lang w:val="en-US" w:eastAsia="zh-CN"/>
        </w:rPr>
        <w:t>万元；</w:t>
      </w:r>
      <w:r>
        <w:rPr>
          <w:rFonts w:hint="eastAsia" w:ascii="宋体" w:hAnsi="宋体" w:eastAsia="宋体" w:cs="宋体"/>
          <w:b/>
          <w:bCs/>
          <w:color w:val="auto"/>
          <w:sz w:val="24"/>
          <w:szCs w:val="24"/>
          <w:highlight w:val="none"/>
          <w:u w:val="none"/>
        </w:rPr>
        <w:t>投标单位投标时必须在招标控制价以内报价，投标报价超出招标控制价者作无效标处理。</w:t>
      </w:r>
    </w:p>
    <w:p>
      <w:pPr>
        <w:tabs>
          <w:tab w:val="left" w:pos="6870"/>
        </w:tabs>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3、工程量清单</w:t>
      </w:r>
    </w:p>
    <w:p>
      <w:pPr>
        <w:widowControl/>
        <w:adjustRightInd w:val="0"/>
        <w:snapToGrid w:val="0"/>
        <w:spacing w:line="500" w:lineRule="exact"/>
        <w:ind w:firstLine="640" w:firstLineChars="200"/>
        <w:jc w:val="left"/>
        <w:rPr>
          <w:rFonts w:hint="eastAsia" w:ascii="宋体" w:hAnsi="宋体" w:eastAsia="宋体" w:cs="宋体"/>
          <w:color w:val="000000"/>
          <w:kern w:val="44"/>
          <w:sz w:val="32"/>
          <w:szCs w:val="32"/>
        </w:rPr>
      </w:pPr>
      <w:bookmarkStart w:id="25" w:name="_Toc436576804"/>
      <w:bookmarkStart w:id="26" w:name="_Toc436577567"/>
      <w:bookmarkStart w:id="27" w:name="_Toc76741791"/>
    </w:p>
    <w:p>
      <w:pPr>
        <w:widowControl/>
        <w:adjustRightInd w:val="0"/>
        <w:snapToGrid w:val="0"/>
        <w:spacing w:line="500" w:lineRule="exact"/>
        <w:ind w:firstLine="640" w:firstLineChars="200"/>
        <w:jc w:val="left"/>
        <w:rPr>
          <w:rFonts w:hint="eastAsia" w:ascii="宋体" w:hAnsi="宋体" w:eastAsia="宋体" w:cs="宋体"/>
          <w:color w:val="000000"/>
          <w:kern w:val="44"/>
          <w:sz w:val="32"/>
          <w:szCs w:val="32"/>
        </w:rPr>
      </w:pPr>
    </w:p>
    <w:tbl>
      <w:tblPr>
        <w:tblStyle w:val="3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5"/>
        <w:gridCol w:w="472"/>
        <w:gridCol w:w="472"/>
        <w:gridCol w:w="2644"/>
        <w:gridCol w:w="614"/>
        <w:gridCol w:w="547"/>
        <w:gridCol w:w="1947"/>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1"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94"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工程名称：山东省临沂卫生学校扩建项目图书信息综合楼B区图书馆及大厅装饰工程</w:t>
            </w:r>
          </w:p>
        </w:tc>
        <w:tc>
          <w:tcPr>
            <w:tcW w:w="0" w:type="auto"/>
            <w:gridSpan w:val="3"/>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93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8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单位工程名称</w:t>
            </w:r>
          </w:p>
        </w:tc>
        <w:tc>
          <w:tcPr>
            <w:tcW w:w="18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c>
          <w:tcPr>
            <w:tcW w:w="4177"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   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3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8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8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暂列金额及</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特殊项目暂估价</w:t>
            </w:r>
          </w:p>
        </w:tc>
        <w:tc>
          <w:tcPr>
            <w:tcW w:w="14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材料暂估价</w:t>
            </w:r>
          </w:p>
        </w:tc>
        <w:tc>
          <w:tcPr>
            <w:tcW w:w="13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B区图书馆及大厅装饰工程</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157000.00</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812"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852"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9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157000.00</w:t>
            </w:r>
          </w:p>
        </w:tc>
        <w:tc>
          <w:tcPr>
            <w:tcW w:w="1406"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79"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8" w:space="0"/>
              <w:left w:val="nil"/>
              <w:bottom w:val="nil"/>
              <w:right w:val="nil"/>
            </w:tcBorders>
            <w:shd w:val="clear" w:color="auto" w:fill="auto"/>
            <w:noWrap/>
            <w:vAlign w:val="top"/>
          </w:tcPr>
          <w:p>
            <w:pPr>
              <w:rPr>
                <w:rFonts w:hint="eastAsia"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448" w:type="dxa"/>
            <w:gridSpan w:val="6"/>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widowControl/>
        <w:adjustRightInd w:val="0"/>
        <w:snapToGrid w:val="0"/>
        <w:spacing w:line="500" w:lineRule="exact"/>
        <w:ind w:firstLine="640" w:firstLineChars="200"/>
        <w:jc w:val="left"/>
        <w:rPr>
          <w:rFonts w:hint="eastAsia" w:ascii="宋体" w:hAnsi="宋体" w:eastAsia="宋体" w:cs="宋体"/>
          <w:color w:val="000000"/>
          <w:kern w:val="44"/>
          <w:sz w:val="32"/>
          <w:szCs w:val="32"/>
        </w:rPr>
      </w:pPr>
    </w:p>
    <w:p>
      <w:pPr>
        <w:pStyle w:val="2"/>
        <w:rPr>
          <w:rFonts w:hint="eastAsia" w:ascii="宋体" w:hAnsi="宋体" w:eastAsia="宋体" w:cs="宋体"/>
          <w:color w:val="000000"/>
          <w:kern w:val="44"/>
          <w:sz w:val="32"/>
          <w:szCs w:val="32"/>
        </w:rPr>
      </w:pPr>
    </w:p>
    <w:tbl>
      <w:tblPr>
        <w:tblStyle w:val="32"/>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2278"/>
        <w:gridCol w:w="861"/>
        <w:gridCol w:w="642"/>
        <w:gridCol w:w="327"/>
        <w:gridCol w:w="327"/>
        <w:gridCol w:w="1648"/>
        <w:gridCol w:w="1103"/>
        <w:gridCol w:w="327"/>
        <w:gridCol w:w="360"/>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245"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20"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2960"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共5页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8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项目特征</w:t>
            </w:r>
          </w:p>
        </w:tc>
        <w:tc>
          <w:tcPr>
            <w:tcW w:w="7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c>
          <w:tcPr>
            <w:tcW w:w="313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8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12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楼面</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011102003001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块料楼面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1、结合层厚度、砂浆配合比：30mm厚1:3干硬性水泥砂浆结合层；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2、面层材料品种、规格、颜色：800*800*10mm地砖；</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2339.170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4"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011102003004</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块料楼地面-串边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1、结合层厚度、砂浆配合比：30mm厚1:3干硬性水泥砂浆结合层,表面撒水泥粉；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2、面层材料品种、规格、颜色：深灰色800*150mm瓷砖串边、深灰色800*50mm瓷砖串边；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3、详见设计图纸；</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112.860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020204009001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槛垫石、过门石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1、结合层厚度、砂浆配合比：30mm厚1:3干硬性水泥砂浆结合层,表面撒水泥粉；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2、面层材料品种、规格、颜色：瓷砖过门石；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3、详见设计图纸；</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11.850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011102003003</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块料楼面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部位：卫生间、开水间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1、结合层厚度、砂浆配合比：30mm厚1:3干硬性水泥砂浆结合层；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2、面层材料品种、规格、颜色：300*300*10mm防滑地砖；</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156.770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011102003002</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部位：一层门厅、电梯间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1、结合层厚度、砂浆配合比：30mm厚1:3干硬性水泥砂浆结合层；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2、面层材料品种、规格、颜色：600*1200*12mm地砖；</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171.190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232"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120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 w:hRule="atLeast"/>
        </w:trPr>
        <w:tc>
          <w:tcPr>
            <w:tcW w:w="0" w:type="auto"/>
            <w:tcBorders>
              <w:top w:val="single" w:color="000000" w:sz="8" w:space="0"/>
              <w:left w:val="nil"/>
              <w:bottom w:val="nil"/>
              <w:right w:val="nil"/>
            </w:tcBorders>
            <w:shd w:val="clear" w:color="auto" w:fill="auto"/>
            <w:noWrap/>
            <w:vAlign w:val="top"/>
          </w:tcPr>
          <w:p>
            <w:pPr>
              <w:rPr>
                <w:rFonts w:hint="eastAsia"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852"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20"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2960"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第2页 共5页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8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项目特征</w:t>
            </w:r>
          </w:p>
        </w:tc>
        <w:tc>
          <w:tcPr>
            <w:tcW w:w="7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c>
          <w:tcPr>
            <w:tcW w:w="313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8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12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绿景阳台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绿景阳台地面：最终完成面比房间内地面低15mm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（1）300*300mm防滑地砖、稀水泥浆扫缝；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（2）30mm厚1：3干硬性水泥砂浆结合层；</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内墙面</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011407001001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墙面喷刷涂料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乳胶漆墙面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1、腻子种类:成品腻子；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2、刮腻子要求:两遍；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3、涂料品种、喷刷遍数:环保乳胶漆两遍；</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3403.980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011204003001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部位：卫生间、开水间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1、结合层厚度、砂浆配合比：1:1水泥砂浆结合层；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2、面层材料品种、规格、颜色：300*600*10mm墙面砖；</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577.920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011204003002</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部位：走廊、楼梯间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1、结合层厚度、砂浆配合比：1:1水泥砂浆结合层；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2、面层材料品种、规格、颜色：400*800*10mm墙砖；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3、墙裙走廊高1.8m，楼梯间高1.6m。</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489.250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011204003003</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部位：门厅、候梯厅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1、安装方式：M12机械膨胀螺栓，6厚铁连接件（镀锌），镀锌螺钉（每个挂件2个）干挂；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2、面层材料品种、规格、颜色：墙面600*1200*12mm瓷砖干挂；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3、高度干挂到梁下；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4、龙骨（单列）。</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369.900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232"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120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852"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20"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2960"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第3页 共5页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8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项目特征</w:t>
            </w:r>
          </w:p>
        </w:tc>
        <w:tc>
          <w:tcPr>
            <w:tcW w:w="7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c>
          <w:tcPr>
            <w:tcW w:w="313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8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12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011204003004</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部位：消防通道两侧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1、安装方式：干挂；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2、面层材料品种、规格、颜色：25mm厚虾红荔枝面石材；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4、龙骨（单列）。</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105.760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011204004001</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干挂石材钢骨架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1、骨架种类、规格：L50*5mm镀锌角铁（含螺栓、附件等内容）；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2、详见设计图纸；</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踢脚线</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011105003001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1、结合层厚度、砂浆配合比：1:1水泥砂浆结合层；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2、面层材料品种、规格、颜色：成品800*100mm瓷砖踢脚线；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3、高度：100mm高。</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51.660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天棚、吊顶</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011302001001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吊顶天棚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部位：门厅、候梯厅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1、吊顶形式、吊杆规格、高度：造型顶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2、龙骨材料种类、规格、中距：50系列轻钢龙骨，18mm细木工板，间距详设计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3、面层材料品种、规格、：9.5mm厚双层纸面石膏板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4、嵌缝材料种类：石膏板面石膏板嵌缝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5、防护材料种类：木制作面防火涂料三遍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6、软膜天花内置LED灯，详见设计图纸</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246.640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232"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120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852"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20"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2960"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第4页 共5页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8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项目特征</w:t>
            </w:r>
          </w:p>
        </w:tc>
        <w:tc>
          <w:tcPr>
            <w:tcW w:w="7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c>
          <w:tcPr>
            <w:tcW w:w="313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8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12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011302001002</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吊顶天棚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部位：消防通道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1、吊顶形式、吊杆规格、高度：造型顶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2、龙骨材料种类、规格、中距：L40*40*4mm镀锌角钢、40*40*3mm镀锌方管等；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3、面层材料品种、规格、：2.5mm铝板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4、软膜天花内置LED灯，详见设计图纸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5、结算时按铝单板展开面积计算。</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923.890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011407002001</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天棚喷刷涂料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1、刮腻子要求：腻子两遍；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2、涂料品种、喷刷遍数：乳胶漆两遍；</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4016.210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011302001003</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铝扣板吊顶天棚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部位：卫生间、热水间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1、龙骨材料种类、规格、中距：主龙骨38*0.6mm轻钢龙骨，M8顶爆螺栓、M8吊筋、轻钢龙骨U50、定制镀锌吊钩、铝合金主龙骨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2、面层材料品种、规格、：300*300*0.8mm集成吊顶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3、吊顶高度：3.9m</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157.320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020409003001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瓷砖窗台板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1、窗台板材质、规格、颜色:窗台瓷砖饰面,外磨圆角.宽度根据现场尺寸(800*800砖切割窗台板)瓷砖窗台倒圆角凸出20mm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2、找平层厚度、砂浆配合比:胶粘剂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3、详见设计图纸</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34.200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9"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01B002</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电梯大理石门套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1、门套材质、规格、颜色:干挂灰色大理石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2、龙骨材料种类、规格、中距：M12膨胀螺栓长100，100*150*8镀锌钢板，50*50*5mm镀锌角钢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3、详见设计图纸</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232"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120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852"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20"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2960"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第5页 共5页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2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7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86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项目特征</w:t>
            </w:r>
          </w:p>
        </w:tc>
        <w:tc>
          <w:tcPr>
            <w:tcW w:w="7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c>
          <w:tcPr>
            <w:tcW w:w="3135"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2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7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86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12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010810002001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木窗帘盒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1、窗帘盒材质、规格：30*40mm木方，木质龙骨骨架  ，18mm细木工板，石膏板窗帘盒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2、防护材料种类：木方面、木板面刷三遍防火处理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3、详见设计图纸</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222.100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2"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6"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01B003</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实木套装门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1、卫生间实木套装门(内外开），含五金件、门锁等全部配件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2、尺寸：2700*1000mm,详见设计图纸</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020401003001</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装饰门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1.门类型:成品套装门、含五金件、门锁等全部配件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2、尺寸：2700*1800mm,详见设计图纸</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34.020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011502002001</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木质装饰线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1、卫生间实木复合门套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2、尺寸：2700*1000mm,详见设计图纸</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011502001001</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金属装饰线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1、线条材料品种、规格、颜色：不锈钢护角条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2、详见设计图纸</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274.400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01B004</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地面、墙面美缝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1、地面、墙面美缝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2、详见设计图纸</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20063.000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011601001001</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砖砌体拆除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部位：墙体拆除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1、墙体类型：内墙；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2、含垃圾清、运。</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0.430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2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010401008001</w:t>
            </w:r>
          </w:p>
        </w:tc>
        <w:tc>
          <w:tcPr>
            <w:tcW w:w="1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填充墙砌筑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1、墙体类型：内墙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2、砖品种、规格、强度等级：加气混凝土砌块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3、砂浆强度等级、配合比：M5.0专用砂浆</w:t>
            </w:r>
          </w:p>
        </w:tc>
        <w:tc>
          <w:tcPr>
            <w:tcW w:w="7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0.490</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62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622"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7232"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本页小计</w:t>
            </w:r>
          </w:p>
        </w:tc>
        <w:tc>
          <w:tcPr>
            <w:tcW w:w="12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4"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232"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203" w:type="dxa"/>
            <w:gridSpan w:val="2"/>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10"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6852" w:type="dxa"/>
            <w:gridSpan w:val="8"/>
            <w:tcBorders>
              <w:top w:val="single" w:color="000000" w:sz="8" w:space="0"/>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32"/>
        <w:tblW w:w="9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58"/>
        <w:gridCol w:w="529"/>
        <w:gridCol w:w="529"/>
        <w:gridCol w:w="529"/>
        <w:gridCol w:w="529"/>
        <w:gridCol w:w="3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3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措施项目清单计价汇总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146"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1248"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89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87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5069"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总价措施费</w:t>
            </w: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单价措施费</w:t>
            </w: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898"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506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0" w:hRule="atLeast"/>
        </w:trPr>
        <w:tc>
          <w:tcPr>
            <w:tcW w:w="4770"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5069"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 w:hRule="atLeast"/>
        </w:trPr>
        <w:tc>
          <w:tcPr>
            <w:tcW w:w="0" w:type="auto"/>
            <w:tcBorders>
              <w:top w:val="single" w:color="000000" w:sz="8" w:space="0"/>
              <w:left w:val="nil"/>
              <w:bottom w:val="nil"/>
              <w:right w:val="nil"/>
            </w:tcBorders>
            <w:shd w:val="clear" w:color="auto" w:fill="auto"/>
            <w:noWrap/>
            <w:vAlign w:val="top"/>
          </w:tcPr>
          <w:p>
            <w:pPr>
              <w:rPr>
                <w:rFonts w:hint="eastAsia"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17" w:type="dxa"/>
            <w:gridSpan w:val="4"/>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rPr>
          <w:rFonts w:hint="eastAsia"/>
        </w:rPr>
      </w:pPr>
    </w:p>
    <w:tbl>
      <w:tblPr>
        <w:tblStyle w:val="3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7"/>
        <w:gridCol w:w="580"/>
        <w:gridCol w:w="580"/>
        <w:gridCol w:w="580"/>
        <w:gridCol w:w="580"/>
        <w:gridCol w:w="2806"/>
        <w:gridCol w:w="580"/>
        <w:gridCol w:w="580"/>
        <w:gridCol w:w="1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920"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2960" w:type="dxa"/>
            <w:gridSpan w:val="3"/>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3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8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140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187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c>
          <w:tcPr>
            <w:tcW w:w="93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总价措施</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夜间施工费</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分部分项人工基价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3.640</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二次搬运费</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分部分项人工基价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3.280</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冬雨季施工增加费</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分部分项人工基价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已完工程及设备保护费</w:t>
            </w: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分部分项人工基价+分部分项辅材基价+分部分项机械基价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0.150</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933"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029"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878"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933" w:type="dxa"/>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0" w:type="auto"/>
            <w:tcBorders>
              <w:top w:val="single" w:color="000000" w:sz="8" w:space="0"/>
              <w:left w:val="nil"/>
              <w:bottom w:val="nil"/>
              <w:right w:val="nil"/>
            </w:tcBorders>
            <w:shd w:val="clear" w:color="auto" w:fill="auto"/>
            <w:noWrap/>
            <w:vAlign w:val="top"/>
          </w:tcPr>
          <w:p>
            <w:pPr>
              <w:rPr>
                <w:rFonts w:hint="eastAsia"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447" w:type="dxa"/>
            <w:gridSpan w:val="7"/>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pStyle w:val="2"/>
        <w:rPr>
          <w:rFonts w:hint="eastAsia"/>
        </w:rPr>
      </w:pPr>
    </w:p>
    <w:p>
      <w:pPr>
        <w:rPr>
          <w:rFonts w:hint="eastAsia"/>
        </w:rPr>
      </w:pPr>
    </w:p>
    <w:tbl>
      <w:tblPr>
        <w:tblStyle w:val="3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1"/>
        <w:gridCol w:w="1476"/>
        <w:gridCol w:w="1102"/>
        <w:gridCol w:w="377"/>
        <w:gridCol w:w="377"/>
        <w:gridCol w:w="377"/>
        <w:gridCol w:w="1584"/>
        <w:gridCol w:w="1315"/>
        <w:gridCol w:w="377"/>
        <w:gridCol w:w="377"/>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9840"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4223"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365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9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4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项目特征</w:t>
            </w:r>
          </w:p>
        </w:tc>
        <w:tc>
          <w:tcPr>
            <w:tcW w:w="75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158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工程数量</w:t>
            </w:r>
          </w:p>
        </w:tc>
        <w:tc>
          <w:tcPr>
            <w:tcW w:w="3656" w:type="dxa"/>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89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4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5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58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7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5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单价措施</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01B001</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脚手架</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01B002</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垂直运输机械</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01B003</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构件吊装机械</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01B004</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混凝土泵送</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01B005</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混凝土模板及支架</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01B006</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大型机械进出场</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01B007</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施工降排水</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9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499" w:type="dxa"/>
            <w:gridSpan w:val="8"/>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75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1587" w:type="dxa"/>
            <w:tcBorders>
              <w:top w:val="single" w:color="000000" w:sz="4" w:space="0"/>
              <w:left w:val="single" w:color="000000" w:sz="4" w:space="0"/>
              <w:bottom w:val="single" w:color="000000" w:sz="8"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tcBorders>
              <w:top w:val="single" w:color="000000" w:sz="8" w:space="0"/>
              <w:left w:val="nil"/>
              <w:bottom w:val="nil"/>
              <w:right w:val="nil"/>
            </w:tcBorders>
            <w:shd w:val="clear" w:color="auto" w:fill="auto"/>
            <w:noWrap/>
            <w:vAlign w:val="top"/>
          </w:tcPr>
          <w:p>
            <w:pPr>
              <w:rPr>
                <w:rFonts w:hint="eastAsia" w:ascii="Arial" w:hAnsi="Arial" w:cs="Arial"/>
                <w:i w:val="0"/>
                <w:iCs w:val="0"/>
                <w:color w:val="000000"/>
                <w:sz w:val="20"/>
                <w:szCs w:val="20"/>
                <w:u w:val="none"/>
              </w:rPr>
            </w:pPr>
          </w:p>
        </w:tc>
        <w:tc>
          <w:tcPr>
            <w:tcW w:w="1476" w:type="dxa"/>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1102" w:type="dxa"/>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0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71" w:type="dxa"/>
            <w:gridSpan w:val="8"/>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pStyle w:val="2"/>
        <w:rPr>
          <w:rFonts w:hint="eastAsia"/>
        </w:rPr>
      </w:pPr>
    </w:p>
    <w:p>
      <w:pPr>
        <w:rPr>
          <w:rFonts w:hint="eastAsia"/>
        </w:rPr>
      </w:pPr>
    </w:p>
    <w:tbl>
      <w:tblPr>
        <w:tblStyle w:val="32"/>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7"/>
        <w:gridCol w:w="276"/>
        <w:gridCol w:w="1572"/>
        <w:gridCol w:w="1490"/>
        <w:gridCol w:w="2211"/>
        <w:gridCol w:w="622"/>
        <w:gridCol w:w="2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3773"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3180" w:type="dxa"/>
            <w:gridSpan w:val="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0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55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计量单位</w:t>
            </w:r>
          </w:p>
        </w:tc>
        <w:tc>
          <w:tcPr>
            <w:tcW w:w="24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c>
          <w:tcPr>
            <w:tcW w:w="3666"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157000.00</w:t>
            </w: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专业工程暂估价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特殊项目暂估价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计日工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采购保管费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其他检验试验费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总承包服务费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020"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3666"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3773"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2401"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157000.00</w:t>
            </w:r>
          </w:p>
        </w:tc>
        <w:tc>
          <w:tcPr>
            <w:tcW w:w="3666" w:type="dxa"/>
            <w:gridSpan w:val="2"/>
            <w:tcBorders>
              <w:top w:val="single" w:color="000000" w:sz="4" w:space="0"/>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 w:hRule="atLeast"/>
        </w:trPr>
        <w:tc>
          <w:tcPr>
            <w:tcW w:w="0" w:type="auto"/>
            <w:tcBorders>
              <w:top w:val="single" w:color="000000" w:sz="8" w:space="0"/>
              <w:left w:val="nil"/>
              <w:bottom w:val="nil"/>
              <w:right w:val="nil"/>
            </w:tcBorders>
            <w:shd w:val="clear" w:color="auto" w:fill="auto"/>
            <w:noWrap/>
            <w:vAlign w:val="top"/>
          </w:tcPr>
          <w:p>
            <w:pPr>
              <w:rPr>
                <w:rFonts w:hint="eastAsia"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1266" w:type="dxa"/>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1200" w:type="dxa"/>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0" w:type="auto"/>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533" w:type="dxa"/>
            <w:gridSpan w:val="5"/>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32"/>
        <w:tblW w:w="104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2033"/>
        <w:gridCol w:w="387"/>
        <w:gridCol w:w="236"/>
        <w:gridCol w:w="1198"/>
        <w:gridCol w:w="623"/>
        <w:gridCol w:w="94"/>
        <w:gridCol w:w="623"/>
        <w:gridCol w:w="94"/>
        <w:gridCol w:w="623"/>
        <w:gridCol w:w="94"/>
        <w:gridCol w:w="623"/>
        <w:gridCol w:w="2344"/>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691" w:hRule="atLeast"/>
        </w:trPr>
        <w:tc>
          <w:tcPr>
            <w:tcW w:w="9839"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规费、税金项目清单计价表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53" w:hRule="atLeast"/>
        </w:trPr>
        <w:tc>
          <w:tcPr>
            <w:tcW w:w="4721"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工程名称：B区图书馆及大厅装饰工程</w:t>
            </w:r>
          </w:p>
        </w:tc>
        <w:tc>
          <w:tcPr>
            <w:tcW w:w="1434" w:type="dxa"/>
            <w:gridSpan w:val="4"/>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3684" w:type="dxa"/>
            <w:gridSpan w:val="4"/>
            <w:tcBorders>
              <w:top w:val="nil"/>
              <w:left w:val="nil"/>
              <w:bottom w:val="single" w:color="000000" w:sz="8" w:space="0"/>
              <w:right w:val="nil"/>
            </w:tcBorders>
            <w:shd w:val="clear" w:color="auto" w:fill="auto"/>
            <w:noWrap/>
            <w:vAlign w:val="center"/>
          </w:tcPr>
          <w:p>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691" w:hRule="atLeast"/>
        </w:trPr>
        <w:tc>
          <w:tcPr>
            <w:tcW w:w="86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0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538"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1434"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2967"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安全文明施工费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15"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安全施工费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00"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环境保护费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0.120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00"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文明施工费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00"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临时设施费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15"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环境保护税</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00"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社会保险费</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分部分项人工基价+措施项目人工基价</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15"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建设项目工伤保险</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分部分项工程费+措施项目费+其他项目费-包干价_不取规费</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500"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分部分项工程费+措施项目费+其他项目费+规费+设备费-甲供材料费-甲供设备费-包干价_不取税金</w:t>
            </w: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38"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353" w:hRule="atLeast"/>
        </w:trPr>
        <w:tc>
          <w:tcPr>
            <w:tcW w:w="86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2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p>
        </w:tc>
        <w:tc>
          <w:tcPr>
            <w:tcW w:w="14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296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456" w:hRule="atLeast"/>
        </w:trPr>
        <w:tc>
          <w:tcPr>
            <w:tcW w:w="6872" w:type="dxa"/>
            <w:gridSpan w:val="11"/>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2967" w:type="dxa"/>
            <w:gridSpan w:val="2"/>
            <w:tcBorders>
              <w:top w:val="nil"/>
              <w:left w:val="single" w:color="000000" w:sz="4" w:space="0"/>
              <w:bottom w:val="single" w:color="000000" w:sz="8" w:space="0"/>
              <w:right w:val="single" w:color="000000" w:sz="8"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67" w:type="dxa"/>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2420" w:type="dxa"/>
            <w:gridSpan w:val="2"/>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236" w:type="dxa"/>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1821" w:type="dxa"/>
            <w:gridSpan w:val="2"/>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717" w:type="dxa"/>
            <w:gridSpan w:val="2"/>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717" w:type="dxa"/>
            <w:gridSpan w:val="2"/>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717" w:type="dxa"/>
            <w:gridSpan w:val="2"/>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c>
          <w:tcPr>
            <w:tcW w:w="2967" w:type="dxa"/>
            <w:gridSpan w:val="2"/>
            <w:tcBorders>
              <w:top w:val="single" w:color="000000" w:sz="8" w:space="0"/>
              <w:left w:val="nil"/>
              <w:bottom w:val="nil"/>
              <w:right w:val="nil"/>
            </w:tcBorders>
            <w:shd w:val="clear" w:color="auto" w:fill="auto"/>
            <w:noWrap/>
            <w:vAlign w:val="top"/>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3" w:type="dxa"/>
          <w:trHeight w:val="470" w:hRule="atLeast"/>
        </w:trPr>
        <w:tc>
          <w:tcPr>
            <w:tcW w:w="86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20" w:type="dxa"/>
            <w:gridSpan w:val="2"/>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552" w:type="dxa"/>
            <w:gridSpan w:val="10"/>
            <w:tcBorders>
              <w:top w:val="nil"/>
              <w:left w:val="nil"/>
              <w:bottom w:val="nil"/>
              <w:right w:val="nil"/>
            </w:tcBorders>
            <w:shd w:val="clear" w:color="auto" w:fill="auto"/>
            <w:vAlign w:val="top"/>
          </w:tcPr>
          <w:p>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【新点2013清单造价山东版 V10.3.5】</w:t>
            </w:r>
          </w:p>
        </w:tc>
      </w:tr>
    </w:tbl>
    <w:p>
      <w:pPr>
        <w:widowControl/>
        <w:adjustRightInd w:val="0"/>
        <w:snapToGrid w:val="0"/>
        <w:spacing w:line="500" w:lineRule="exact"/>
        <w:ind w:firstLine="640" w:firstLineChars="200"/>
        <w:jc w:val="left"/>
        <w:rPr>
          <w:rFonts w:hint="eastAsia" w:ascii="宋体" w:hAnsi="宋体" w:eastAsia="宋体" w:cs="宋体"/>
          <w:color w:val="000000"/>
          <w:kern w:val="44"/>
          <w:sz w:val="32"/>
          <w:szCs w:val="32"/>
        </w:rPr>
      </w:pPr>
      <w:r>
        <w:rPr>
          <w:rFonts w:hint="eastAsia" w:ascii="宋体" w:hAnsi="宋体" w:eastAsia="宋体" w:cs="宋体"/>
          <w:color w:val="000000"/>
          <w:kern w:val="44"/>
          <w:sz w:val="32"/>
          <w:szCs w:val="32"/>
        </w:rPr>
        <w:br w:type="page"/>
      </w:r>
    </w:p>
    <w:p>
      <w:pPr>
        <w:keepNext/>
        <w:keepLines/>
        <w:spacing w:line="800" w:lineRule="exact"/>
        <w:jc w:val="center"/>
        <w:outlineLvl w:val="0"/>
        <w:rPr>
          <w:rFonts w:hint="eastAsia" w:ascii="宋体" w:hAnsi="宋体" w:eastAsia="宋体" w:cs="宋体"/>
          <w:kern w:val="44"/>
          <w:sz w:val="32"/>
          <w:szCs w:val="32"/>
        </w:rPr>
      </w:pPr>
      <w:r>
        <w:rPr>
          <w:rFonts w:hint="eastAsia" w:ascii="宋体" w:hAnsi="宋体" w:eastAsia="宋体" w:cs="宋体"/>
          <w:color w:val="000000"/>
          <w:kern w:val="44"/>
          <w:sz w:val="32"/>
          <w:szCs w:val="32"/>
        </w:rPr>
        <w:t xml:space="preserve">第四章  </w:t>
      </w:r>
      <w:bookmarkEnd w:id="25"/>
      <w:bookmarkEnd w:id="26"/>
      <w:r>
        <w:rPr>
          <w:rFonts w:hint="eastAsia" w:ascii="宋体" w:hAnsi="宋体" w:eastAsia="宋体" w:cs="宋体"/>
          <w:color w:val="000000"/>
          <w:kern w:val="44"/>
          <w:sz w:val="32"/>
          <w:szCs w:val="32"/>
        </w:rPr>
        <w:t>授予合同</w:t>
      </w:r>
      <w:bookmarkEnd w:id="27"/>
    </w:p>
    <w:p>
      <w:pPr>
        <w:keepNext/>
        <w:keepLines/>
        <w:tabs>
          <w:tab w:val="left" w:pos="1260"/>
        </w:tabs>
        <w:spacing w:line="480" w:lineRule="exact"/>
        <w:ind w:firstLine="482" w:firstLineChars="200"/>
        <w:outlineLvl w:val="1"/>
        <w:rPr>
          <w:rFonts w:hint="eastAsia" w:ascii="宋体" w:hAnsi="宋体" w:eastAsia="宋体" w:cs="宋体"/>
          <w:b/>
          <w:bCs/>
          <w:kern w:val="1"/>
          <w:sz w:val="24"/>
        </w:rPr>
      </w:pPr>
      <w:bookmarkStart w:id="28" w:name="_Toc12651"/>
      <w:bookmarkStart w:id="29" w:name="_Toc76741792"/>
      <w:r>
        <w:rPr>
          <w:rFonts w:hint="eastAsia" w:ascii="宋体" w:hAnsi="宋体" w:eastAsia="宋体" w:cs="宋体"/>
          <w:b/>
          <w:bCs/>
          <w:kern w:val="1"/>
          <w:sz w:val="24"/>
        </w:rPr>
        <w:t>一、授予合同前调整</w:t>
      </w:r>
      <w:r>
        <w:rPr>
          <w:rFonts w:hint="eastAsia" w:ascii="宋体" w:hAnsi="宋体" w:eastAsia="宋体" w:cs="宋体"/>
          <w:b/>
          <w:bCs/>
          <w:sz w:val="24"/>
        </w:rPr>
        <w:t>服务内容</w:t>
      </w:r>
      <w:r>
        <w:rPr>
          <w:rFonts w:hint="eastAsia" w:ascii="宋体" w:hAnsi="宋体" w:eastAsia="宋体" w:cs="宋体"/>
          <w:b/>
          <w:bCs/>
          <w:kern w:val="1"/>
          <w:sz w:val="24"/>
        </w:rPr>
        <w:t>的权力</w:t>
      </w:r>
      <w:bookmarkEnd w:id="28"/>
      <w:bookmarkEnd w:id="29"/>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 xml:space="preserve"> 采购人在授予合同前，有权在法定范围内</w:t>
      </w:r>
      <w:r>
        <w:rPr>
          <w:rFonts w:hint="eastAsia" w:ascii="宋体" w:hAnsi="宋体" w:eastAsia="宋体" w:cs="宋体"/>
          <w:sz w:val="24"/>
        </w:rPr>
        <w:t>对服务内容</w:t>
      </w:r>
      <w:r>
        <w:rPr>
          <w:rFonts w:hint="eastAsia" w:ascii="宋体" w:hAnsi="宋体" w:eastAsia="宋体" w:cs="宋体"/>
          <w:kern w:val="1"/>
          <w:sz w:val="24"/>
        </w:rPr>
        <w:t>进行适当调整并据实结算。</w:t>
      </w:r>
    </w:p>
    <w:p>
      <w:pPr>
        <w:keepNext/>
        <w:keepLines/>
        <w:tabs>
          <w:tab w:val="left" w:pos="1260"/>
        </w:tabs>
        <w:spacing w:line="480" w:lineRule="exact"/>
        <w:ind w:firstLine="482" w:firstLineChars="200"/>
        <w:outlineLvl w:val="1"/>
        <w:rPr>
          <w:rFonts w:hint="eastAsia" w:ascii="宋体" w:hAnsi="宋体" w:eastAsia="宋体" w:cs="宋体"/>
          <w:b/>
          <w:bCs/>
          <w:kern w:val="1"/>
          <w:sz w:val="24"/>
        </w:rPr>
      </w:pPr>
      <w:bookmarkStart w:id="30" w:name="_Toc76741793"/>
      <w:r>
        <w:rPr>
          <w:rFonts w:hint="eastAsia" w:ascii="宋体" w:hAnsi="宋体" w:eastAsia="宋体" w:cs="宋体"/>
          <w:b/>
          <w:bCs/>
          <w:kern w:val="1"/>
          <w:sz w:val="24"/>
        </w:rPr>
        <w:t>二、中标通知书</w:t>
      </w:r>
      <w:bookmarkEnd w:id="30"/>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1、中标供应商确定后,代理机构将在刊登本次招标公告的媒体上发布中标公示，同时以书面形式向中标人发出中标通知书，但该中标结果的有效性不依赖于未中标的报价人是否已经收到该通知。中标通知书对采购人和中标供应商具有同等法律效力。中标通知书发出以后，采购人改变中标结果或者中标供应商放弃中标，应当承担相应的法律责任。</w:t>
      </w:r>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2、代理机构对未中标的报价人不作未中标原因的解释，但中标结果的有效性不以未中标的报价人是否收到相应的通知为前提。</w:t>
      </w:r>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3、中标通知书是合同的组成部分。</w:t>
      </w:r>
    </w:p>
    <w:p>
      <w:pPr>
        <w:keepNext/>
        <w:keepLines/>
        <w:tabs>
          <w:tab w:val="left" w:pos="1260"/>
        </w:tabs>
        <w:spacing w:line="480" w:lineRule="exact"/>
        <w:ind w:firstLine="482" w:firstLineChars="200"/>
        <w:outlineLvl w:val="1"/>
        <w:rPr>
          <w:rFonts w:hint="eastAsia" w:ascii="宋体" w:hAnsi="宋体" w:eastAsia="宋体" w:cs="宋体"/>
          <w:b/>
          <w:bCs/>
          <w:kern w:val="1"/>
          <w:sz w:val="24"/>
        </w:rPr>
      </w:pPr>
      <w:bookmarkStart w:id="31" w:name="_Toc339282173"/>
      <w:bookmarkEnd w:id="31"/>
      <w:bookmarkStart w:id="32" w:name="_Toc30061"/>
      <w:bookmarkEnd w:id="32"/>
      <w:bookmarkStart w:id="33" w:name="_Toc76741794"/>
      <w:bookmarkStart w:id="34" w:name="_Toc26615"/>
      <w:r>
        <w:rPr>
          <w:rFonts w:hint="eastAsia" w:ascii="宋体" w:hAnsi="宋体" w:eastAsia="宋体" w:cs="宋体"/>
          <w:b/>
          <w:bCs/>
          <w:kern w:val="1"/>
          <w:sz w:val="24"/>
        </w:rPr>
        <w:t>三、签订合同</w:t>
      </w:r>
      <w:bookmarkEnd w:id="33"/>
      <w:bookmarkEnd w:id="34"/>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1、由采购人与成交供应商签订合同，如有特别约定的，从其约定。</w:t>
      </w:r>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2、成交供应商无正当理由未在规定时间内与采购人签订合同的，采购人有权建议取消其成交资格，并按相关法律法规规定处理。</w:t>
      </w:r>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3、合同签订的内容不能超出采购文件和投标文件的实质性内容。</w:t>
      </w:r>
    </w:p>
    <w:p>
      <w:pPr>
        <w:spacing w:line="480" w:lineRule="exact"/>
        <w:ind w:firstLine="480"/>
        <w:rPr>
          <w:rFonts w:hint="eastAsia" w:ascii="宋体" w:hAnsi="宋体" w:eastAsia="宋体" w:cs="宋体"/>
          <w:kern w:val="1"/>
          <w:sz w:val="24"/>
        </w:rPr>
      </w:pPr>
      <w:r>
        <w:rPr>
          <w:rFonts w:hint="eastAsia" w:ascii="宋体" w:hAnsi="宋体" w:eastAsia="宋体" w:cs="宋体"/>
          <w:kern w:val="1"/>
          <w:sz w:val="24"/>
        </w:rPr>
        <w:t>4、采购文件、投标文件、成交通知书及成交供应商在评审过程中就有关问题做出的书面说明或承诺等是合同的组成部分。</w:t>
      </w:r>
    </w:p>
    <w:p>
      <w:pPr>
        <w:spacing w:line="480" w:lineRule="exact"/>
        <w:rPr>
          <w:rFonts w:hint="eastAsia" w:ascii="宋体" w:hAnsi="宋体" w:eastAsia="宋体" w:cs="宋体"/>
          <w:kern w:val="1"/>
          <w:sz w:val="24"/>
        </w:rPr>
      </w:pPr>
      <w:r>
        <w:rPr>
          <w:rFonts w:hint="eastAsia" w:ascii="宋体" w:hAnsi="宋体" w:eastAsia="宋体" w:cs="宋体"/>
          <w:sz w:val="24"/>
        </w:rPr>
        <w:t xml:space="preserve">    5、</w:t>
      </w:r>
      <w:r>
        <w:rPr>
          <w:rFonts w:hint="eastAsia" w:ascii="宋体" w:hAnsi="宋体" w:eastAsia="宋体" w:cs="宋体"/>
          <w:kern w:val="1"/>
          <w:sz w:val="24"/>
        </w:rPr>
        <w:t>成交供应商</w:t>
      </w:r>
      <w:r>
        <w:rPr>
          <w:rFonts w:hint="eastAsia" w:ascii="宋体" w:hAnsi="宋体" w:eastAsia="宋体" w:cs="宋体"/>
          <w:sz w:val="24"/>
        </w:rPr>
        <w:t>因不可抗力原因不能履行采购合同或放弃成交的，采购人可以与得分排在</w:t>
      </w:r>
      <w:r>
        <w:rPr>
          <w:rFonts w:hint="eastAsia" w:ascii="宋体" w:hAnsi="宋体" w:eastAsia="宋体" w:cs="宋体"/>
          <w:kern w:val="1"/>
          <w:sz w:val="24"/>
        </w:rPr>
        <w:t>成交供应商</w:t>
      </w:r>
      <w:r>
        <w:rPr>
          <w:rFonts w:hint="eastAsia" w:ascii="宋体" w:hAnsi="宋体" w:eastAsia="宋体" w:cs="宋体"/>
          <w:sz w:val="24"/>
        </w:rPr>
        <w:t>之后第一位的供应商签订采购合同，以此类推。</w:t>
      </w:r>
    </w:p>
    <w:p>
      <w:pPr>
        <w:numPr>
          <w:ilvl w:val="0"/>
          <w:numId w:val="10"/>
        </w:numPr>
        <w:spacing w:line="480" w:lineRule="exact"/>
        <w:rPr>
          <w:rFonts w:hint="eastAsia" w:ascii="宋体" w:hAnsi="宋体" w:eastAsia="宋体" w:cs="宋体"/>
          <w:kern w:val="1"/>
          <w:sz w:val="24"/>
        </w:rPr>
      </w:pPr>
      <w:r>
        <w:rPr>
          <w:rFonts w:hint="eastAsia" w:ascii="宋体" w:hAnsi="宋体" w:eastAsia="宋体" w:cs="宋体"/>
          <w:kern w:val="1"/>
          <w:sz w:val="24"/>
        </w:rPr>
        <w:t>违约责任、风险承担等其他事项在签订合同时双方具体约定。</w:t>
      </w:r>
    </w:p>
    <w:p>
      <w:pPr>
        <w:spacing w:line="480" w:lineRule="exact"/>
        <w:ind w:firstLine="480"/>
        <w:rPr>
          <w:rFonts w:hint="eastAsia" w:ascii="宋体" w:hAnsi="宋体" w:eastAsia="宋体" w:cs="宋体"/>
          <w:b/>
          <w:kern w:val="1"/>
          <w:sz w:val="24"/>
          <w:u w:val="double"/>
        </w:rPr>
      </w:pPr>
      <w:r>
        <w:rPr>
          <w:rFonts w:hint="eastAsia" w:ascii="宋体" w:hAnsi="宋体" w:eastAsia="宋体" w:cs="宋体"/>
          <w:kern w:val="1"/>
          <w:sz w:val="24"/>
        </w:rPr>
        <w:t>7、</w:t>
      </w:r>
      <w:r>
        <w:rPr>
          <w:rFonts w:hint="eastAsia" w:ascii="宋体" w:hAnsi="宋体" w:eastAsia="宋体" w:cs="宋体"/>
          <w:b/>
          <w:kern w:val="1"/>
          <w:sz w:val="24"/>
          <w:u w:val="double"/>
        </w:rPr>
        <w:t>成交供应商</w:t>
      </w:r>
      <w:r>
        <w:rPr>
          <w:rFonts w:hint="eastAsia" w:ascii="宋体" w:hAnsi="宋体" w:eastAsia="宋体" w:cs="宋体"/>
          <w:b/>
          <w:sz w:val="24"/>
          <w:u w:val="double"/>
        </w:rPr>
        <w:t>在合同签订之后</w:t>
      </w:r>
      <w:r>
        <w:rPr>
          <w:rFonts w:hint="eastAsia" w:ascii="宋体" w:hAnsi="宋体" w:cs="宋体"/>
          <w:b/>
          <w:sz w:val="24"/>
          <w:u w:val="double"/>
          <w:lang w:val="en-US" w:eastAsia="zh-CN"/>
        </w:rPr>
        <w:t>2</w:t>
      </w:r>
      <w:r>
        <w:rPr>
          <w:rFonts w:hint="eastAsia" w:ascii="宋体" w:hAnsi="宋体" w:eastAsia="宋体" w:cs="宋体"/>
          <w:b/>
          <w:sz w:val="24"/>
          <w:u w:val="double"/>
        </w:rPr>
        <w:t>日内，将签订的合同送采购代理机构</w:t>
      </w:r>
      <w:r>
        <w:rPr>
          <w:rFonts w:hint="eastAsia" w:ascii="宋体" w:hAnsi="宋体" w:eastAsia="宋体" w:cs="宋体"/>
          <w:b/>
          <w:bCs/>
          <w:sz w:val="24"/>
          <w:u w:val="double"/>
        </w:rPr>
        <w:t>两份</w:t>
      </w:r>
      <w:r>
        <w:rPr>
          <w:rFonts w:hint="eastAsia" w:ascii="宋体" w:hAnsi="宋体" w:eastAsia="宋体" w:cs="宋体"/>
          <w:b/>
          <w:sz w:val="24"/>
          <w:u w:val="double"/>
        </w:rPr>
        <w:t>（</w:t>
      </w:r>
      <w:r>
        <w:rPr>
          <w:rFonts w:hint="eastAsia" w:ascii="宋体" w:hAnsi="宋体" w:eastAsia="宋体" w:cs="宋体"/>
          <w:b/>
          <w:kern w:val="1"/>
          <w:sz w:val="24"/>
          <w:u w:val="double"/>
        </w:rPr>
        <w:t>其中一份</w:t>
      </w:r>
      <w:r>
        <w:rPr>
          <w:rFonts w:hint="eastAsia" w:ascii="宋体" w:hAnsi="宋体" w:eastAsia="宋体" w:cs="宋体"/>
          <w:b/>
          <w:sz w:val="24"/>
          <w:u w:val="double"/>
        </w:rPr>
        <w:t>由采购代理机构</w:t>
      </w:r>
      <w:r>
        <w:rPr>
          <w:rFonts w:hint="eastAsia" w:ascii="宋体" w:hAnsi="宋体" w:eastAsia="宋体" w:cs="宋体"/>
          <w:b/>
          <w:kern w:val="1"/>
          <w:sz w:val="24"/>
          <w:u w:val="double"/>
        </w:rPr>
        <w:t>到财政局备案）。</w:t>
      </w:r>
    </w:p>
    <w:p>
      <w:pPr>
        <w:rPr>
          <w:rFonts w:hint="eastAsia" w:ascii="宋体" w:hAnsi="宋体" w:eastAsia="宋体" w:cs="宋体"/>
          <w:b/>
          <w:kern w:val="0"/>
          <w:sz w:val="24"/>
        </w:rPr>
      </w:pPr>
      <w:r>
        <w:rPr>
          <w:rFonts w:hint="eastAsia" w:ascii="宋体" w:hAnsi="宋体" w:eastAsia="宋体" w:cs="宋体"/>
          <w:b/>
          <w:kern w:val="0"/>
          <w:sz w:val="24"/>
        </w:rPr>
        <w:br w:type="page"/>
      </w:r>
    </w:p>
    <w:p>
      <w:pPr>
        <w:spacing w:before="0" w:line="240" w:lineRule="auto"/>
        <w:rPr>
          <w:rFonts w:hint="eastAsia" w:ascii="宋体" w:hAnsi="宋体" w:eastAsia="宋体" w:cs="宋体"/>
          <w:sz w:val="20"/>
          <w:szCs w:val="20"/>
          <w:lang w:eastAsia="zh-CN"/>
        </w:rPr>
      </w:pPr>
      <w:bookmarkStart w:id="35" w:name="_Toc76741795"/>
      <w:bookmarkStart w:id="36" w:name="_Toc436577568"/>
      <w:bookmarkStart w:id="37" w:name="_Toc436576805"/>
      <w:r>
        <w:rPr>
          <w:rFonts w:hint="eastAsia" w:ascii="宋体" w:hAnsi="宋体" w:eastAsia="宋体" w:cs="宋体"/>
          <w:sz w:val="20"/>
          <w:szCs w:val="20"/>
          <w:lang w:eastAsia="zh-CN"/>
        </w:rPr>
        <w:t>（</w:t>
      </w:r>
      <w:r>
        <w:rPr>
          <w:rFonts w:hint="eastAsia" w:ascii="宋体" w:hAnsi="宋体" w:cs="宋体"/>
          <w:sz w:val="20"/>
          <w:szCs w:val="20"/>
          <w:lang w:val="en-US" w:eastAsia="zh-CN"/>
        </w:rPr>
        <w:t>合同</w:t>
      </w:r>
      <w:r>
        <w:rPr>
          <w:rFonts w:hint="eastAsia" w:ascii="宋体" w:hAnsi="宋体" w:eastAsia="宋体" w:cs="宋体"/>
          <w:sz w:val="20"/>
          <w:szCs w:val="20"/>
          <w:lang w:val="en-US" w:eastAsia="zh-CN"/>
        </w:rPr>
        <w:t>格式仅供参考</w:t>
      </w:r>
      <w:r>
        <w:rPr>
          <w:rFonts w:hint="eastAsia" w:ascii="宋体" w:hAnsi="宋体" w:eastAsia="宋体" w:cs="宋体"/>
          <w:sz w:val="20"/>
          <w:szCs w:val="20"/>
          <w:lang w:eastAsia="zh-CN"/>
        </w:rPr>
        <w:t>）</w:t>
      </w:r>
    </w:p>
    <w:p>
      <w:pPr>
        <w:spacing w:before="0" w:line="240" w:lineRule="auto"/>
        <w:rPr>
          <w:rFonts w:hint="default" w:ascii="宋体" w:hAnsi="宋体" w:eastAsia="宋体" w:cs="宋体"/>
          <w:b/>
          <w:bCs/>
          <w:sz w:val="20"/>
          <w:szCs w:val="20"/>
        </w:rPr>
      </w:pPr>
    </w:p>
    <w:p>
      <w:pPr>
        <w:spacing w:before="1" w:line="240" w:lineRule="auto"/>
        <w:rPr>
          <w:rFonts w:hint="default" w:ascii="宋体" w:hAnsi="宋体" w:eastAsia="宋体" w:cs="宋体"/>
          <w:b/>
          <w:bCs/>
          <w:sz w:val="22"/>
          <w:szCs w:val="22"/>
        </w:rPr>
      </w:pPr>
    </w:p>
    <w:p>
      <w:pPr>
        <w:spacing w:before="0" w:line="539" w:lineRule="exact"/>
        <w:ind w:left="2556" w:right="0" w:firstLine="0"/>
        <w:jc w:val="left"/>
        <w:rPr>
          <w:rFonts w:hint="default" w:ascii="宋体" w:hAnsi="宋体" w:eastAsia="宋体" w:cs="宋体"/>
          <w:sz w:val="44"/>
          <w:szCs w:val="44"/>
        </w:rPr>
      </w:pPr>
      <w:r>
        <w:rPr>
          <w:rFonts w:hint="default" w:ascii="宋体" w:hAnsi="宋体" w:eastAsia="宋体" w:cs="宋体"/>
          <w:b/>
          <w:bCs/>
          <w:sz w:val="44"/>
          <w:szCs w:val="44"/>
        </w:rPr>
        <w:t>第一部分</w:t>
      </w:r>
      <w:r>
        <w:rPr>
          <w:rFonts w:hint="default" w:ascii="宋体" w:hAnsi="宋体" w:eastAsia="宋体" w:cs="宋体"/>
          <w:b/>
          <w:bCs/>
          <w:spacing w:val="-10"/>
          <w:sz w:val="44"/>
          <w:szCs w:val="44"/>
        </w:rPr>
        <w:t xml:space="preserve"> </w:t>
      </w:r>
      <w:r>
        <w:rPr>
          <w:rFonts w:hint="default" w:ascii="宋体" w:hAnsi="宋体" w:eastAsia="宋体" w:cs="宋体"/>
          <w:b/>
          <w:bCs/>
          <w:sz w:val="44"/>
          <w:szCs w:val="44"/>
        </w:rPr>
        <w:t>合同协议书</w:t>
      </w:r>
    </w:p>
    <w:p>
      <w:pPr>
        <w:spacing w:before="4" w:line="240" w:lineRule="auto"/>
        <w:rPr>
          <w:rFonts w:hint="default" w:ascii="宋体" w:hAnsi="宋体" w:eastAsia="宋体" w:cs="宋体"/>
          <w:b/>
          <w:bCs/>
          <w:sz w:val="54"/>
          <w:szCs w:val="54"/>
        </w:rPr>
      </w:pPr>
    </w:p>
    <w:p>
      <w:pPr>
        <w:spacing w:before="0" w:line="355" w:lineRule="auto"/>
        <w:ind w:left="118" w:right="7581" w:firstLine="0"/>
        <w:jc w:val="left"/>
        <w:rPr>
          <w:rFonts w:hint="default" w:ascii="宋体" w:hAnsi="宋体" w:eastAsia="宋体" w:cs="宋体"/>
          <w:b/>
          <w:bCs/>
          <w:sz w:val="21"/>
          <w:szCs w:val="21"/>
        </w:rPr>
      </w:pPr>
      <w:r>
        <w:rPr>
          <w:rFonts w:hint="default" w:ascii="宋体" w:hAnsi="宋体" w:eastAsia="宋体" w:cs="宋体"/>
          <w:b/>
          <w:bCs/>
          <w:sz w:val="21"/>
          <w:szCs w:val="21"/>
        </w:rPr>
        <w:t>发包人（全称）：</w:t>
      </w:r>
    </w:p>
    <w:p>
      <w:pPr>
        <w:spacing w:before="0" w:line="355" w:lineRule="auto"/>
        <w:ind w:left="118" w:right="7581" w:firstLine="0"/>
        <w:jc w:val="left"/>
        <w:rPr>
          <w:rFonts w:hint="default" w:ascii="宋体" w:hAnsi="宋体" w:eastAsia="宋体" w:cs="宋体"/>
          <w:sz w:val="21"/>
          <w:szCs w:val="21"/>
        </w:rPr>
      </w:pPr>
      <w:r>
        <w:rPr>
          <w:rFonts w:hint="default" w:ascii="宋体" w:hAnsi="宋体" w:eastAsia="宋体" w:cs="宋体"/>
          <w:b/>
          <w:bCs/>
          <w:sz w:val="21"/>
          <w:szCs w:val="21"/>
        </w:rPr>
        <w:t>承包人（全称）：</w:t>
      </w:r>
    </w:p>
    <w:p>
      <w:pPr>
        <w:tabs>
          <w:tab w:val="left" w:pos="5849"/>
        </w:tabs>
        <w:spacing w:before="34" w:line="355" w:lineRule="auto"/>
        <w:ind w:left="118" w:right="215" w:firstLine="420"/>
        <w:jc w:val="both"/>
        <w:rPr>
          <w:rFonts w:hint="default" w:ascii="宋体" w:hAnsi="宋体" w:eastAsia="宋体" w:cs="宋体"/>
          <w:sz w:val="21"/>
          <w:szCs w:val="21"/>
        </w:rPr>
      </w:pPr>
      <w:r>
        <w:rPr>
          <w:rFonts w:hint="default" w:ascii="宋体" w:hAnsi="宋体" w:eastAsia="宋体" w:cs="宋体"/>
          <w:sz w:val="21"/>
          <w:szCs w:val="21"/>
        </w:rPr>
        <w:t>根据《中华人民共和国合同法》、《中华人民共和国建筑法》及有关法律规定，遵循平等、自</w:t>
      </w:r>
      <w:r>
        <w:rPr>
          <w:rFonts w:hint="default" w:ascii="宋体" w:hAnsi="宋体" w:eastAsia="宋体" w:cs="宋体"/>
          <w:w w:val="99"/>
          <w:sz w:val="21"/>
          <w:szCs w:val="21"/>
        </w:rPr>
        <w:t xml:space="preserve"> </w:t>
      </w:r>
      <w:r>
        <w:rPr>
          <w:rFonts w:hint="default" w:ascii="宋体" w:hAnsi="宋体" w:eastAsia="宋体" w:cs="宋体"/>
          <w:spacing w:val="-3"/>
          <w:w w:val="95"/>
          <w:sz w:val="21"/>
          <w:szCs w:val="21"/>
        </w:rPr>
        <w:t>愿、公平和诚实信用的原则，双方就</w:t>
      </w:r>
      <w:r>
        <w:rPr>
          <w:rFonts w:hint="default" w:ascii="Times New Roman" w:hAnsi="Times New Roman" w:eastAsia="Times New Roman" w:cs="Times New Roman"/>
          <w:spacing w:val="-3"/>
          <w:w w:val="95"/>
          <w:sz w:val="21"/>
          <w:szCs w:val="21"/>
          <w:u w:val="single" w:color="000000"/>
        </w:rPr>
        <w:t xml:space="preserve"> </w:t>
      </w:r>
      <w:r>
        <w:rPr>
          <w:rFonts w:hint="default" w:ascii="Times New Roman" w:hAnsi="Times New Roman" w:eastAsia="Times New Roman" w:cs="Times New Roman"/>
          <w:spacing w:val="-3"/>
          <w:w w:val="95"/>
          <w:sz w:val="21"/>
          <w:szCs w:val="21"/>
          <w:u w:val="single" w:color="000000"/>
        </w:rPr>
        <w:tab/>
      </w:r>
      <w:r>
        <w:rPr>
          <w:rFonts w:hint="default" w:ascii="宋体" w:hAnsi="宋体" w:eastAsia="宋体" w:cs="宋体"/>
          <w:spacing w:val="-1"/>
          <w:w w:val="95"/>
          <w:sz w:val="21"/>
          <w:szCs w:val="21"/>
        </w:rPr>
        <w:t>工程施工及有关事项协商一致，共同</w:t>
      </w:r>
      <w:r>
        <w:rPr>
          <w:rFonts w:hint="default" w:ascii="宋体" w:hAnsi="宋体" w:eastAsia="宋体" w:cs="宋体"/>
          <w:spacing w:val="56"/>
          <w:w w:val="95"/>
          <w:sz w:val="21"/>
          <w:szCs w:val="21"/>
        </w:rPr>
        <w:t xml:space="preserve"> </w:t>
      </w:r>
      <w:r>
        <w:rPr>
          <w:rFonts w:hint="default" w:ascii="宋体" w:hAnsi="宋体" w:eastAsia="宋体" w:cs="宋体"/>
          <w:sz w:val="21"/>
          <w:szCs w:val="21"/>
        </w:rPr>
        <w:t>达成如下协议：</w:t>
      </w:r>
    </w:p>
    <w:p>
      <w:pPr>
        <w:spacing w:before="152"/>
        <w:ind w:left="538" w:right="0" w:firstLine="0"/>
        <w:jc w:val="left"/>
        <w:rPr>
          <w:rFonts w:hint="default" w:ascii="宋体" w:hAnsi="宋体" w:eastAsia="宋体" w:cs="宋体"/>
          <w:sz w:val="21"/>
          <w:szCs w:val="21"/>
        </w:rPr>
      </w:pPr>
      <w:bookmarkStart w:id="38" w:name="    一、工程概况"/>
      <w:bookmarkEnd w:id="38"/>
      <w:r>
        <w:rPr>
          <w:rFonts w:hint="default" w:ascii="宋体" w:hAnsi="宋体" w:eastAsia="宋体" w:cs="宋体"/>
          <w:sz w:val="21"/>
          <w:szCs w:val="21"/>
        </w:rPr>
        <w:t>一、工程概况</w:t>
      </w:r>
    </w:p>
    <w:p>
      <w:pPr>
        <w:spacing w:before="5" w:line="240" w:lineRule="auto"/>
        <w:rPr>
          <w:rFonts w:hint="default" w:ascii="宋体" w:hAnsi="宋体" w:eastAsia="宋体" w:cs="宋体"/>
          <w:sz w:val="19"/>
          <w:szCs w:val="19"/>
        </w:rPr>
      </w:pPr>
    </w:p>
    <w:p>
      <w:pPr>
        <w:tabs>
          <w:tab w:val="left" w:pos="5045"/>
        </w:tabs>
        <w:spacing w:before="0"/>
        <w:ind w:left="528" w:right="0" w:firstLine="0"/>
        <w:jc w:val="left"/>
        <w:rPr>
          <w:rFonts w:hint="default" w:ascii="宋体" w:hAnsi="宋体" w:eastAsia="宋体" w:cs="宋体"/>
          <w:sz w:val="21"/>
          <w:szCs w:val="21"/>
        </w:rPr>
      </w:pPr>
      <w:r>
        <w:rPr>
          <w:rFonts w:hint="default" w:ascii="宋体" w:hAnsi="宋体" w:eastAsia="宋体" w:cs="宋体"/>
          <w:w w:val="95"/>
          <w:sz w:val="21"/>
          <w:szCs w:val="21"/>
        </w:rPr>
        <w:t>1.工程名称：</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tabs>
          <w:tab w:val="left" w:pos="4834"/>
        </w:tabs>
        <w:spacing w:before="133"/>
        <w:ind w:left="528" w:right="0" w:firstLine="0"/>
        <w:jc w:val="left"/>
        <w:rPr>
          <w:rFonts w:hint="default" w:ascii="宋体" w:hAnsi="宋体" w:eastAsia="宋体" w:cs="宋体"/>
          <w:sz w:val="21"/>
          <w:szCs w:val="21"/>
        </w:rPr>
      </w:pPr>
      <w:r>
        <w:rPr>
          <w:rFonts w:hint="default" w:ascii="宋体" w:hAnsi="宋体" w:eastAsia="宋体" w:cs="宋体"/>
          <w:w w:val="95"/>
          <w:sz w:val="21"/>
          <w:szCs w:val="21"/>
        </w:rPr>
        <w:t>2.工程地点：</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tabs>
          <w:tab w:val="left" w:pos="5254"/>
        </w:tabs>
        <w:spacing w:before="135"/>
        <w:ind w:left="528" w:right="0" w:firstLine="0"/>
        <w:jc w:val="left"/>
        <w:rPr>
          <w:rFonts w:hint="default" w:ascii="宋体" w:hAnsi="宋体" w:eastAsia="宋体" w:cs="宋体"/>
          <w:sz w:val="21"/>
          <w:szCs w:val="21"/>
        </w:rPr>
      </w:pPr>
      <w:r>
        <w:rPr>
          <w:rFonts w:hint="default" w:ascii="宋体" w:hAnsi="宋体" w:eastAsia="宋体" w:cs="宋体"/>
          <w:w w:val="95"/>
          <w:sz w:val="21"/>
          <w:szCs w:val="21"/>
        </w:rPr>
        <w:t>3.工程立项批准文号：</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tabs>
          <w:tab w:val="left" w:pos="4414"/>
        </w:tabs>
        <w:spacing w:before="133"/>
        <w:ind w:left="528" w:right="0" w:firstLine="0"/>
        <w:jc w:val="left"/>
        <w:rPr>
          <w:rFonts w:hint="default" w:ascii="宋体" w:hAnsi="宋体" w:eastAsia="宋体" w:cs="宋体"/>
          <w:sz w:val="21"/>
          <w:szCs w:val="21"/>
        </w:rPr>
      </w:pPr>
      <w:r>
        <w:rPr>
          <w:rFonts w:hint="default" w:ascii="宋体" w:hAnsi="宋体" w:eastAsia="宋体" w:cs="宋体"/>
          <w:w w:val="95"/>
          <w:sz w:val="21"/>
          <w:szCs w:val="21"/>
        </w:rPr>
        <w:t>4.资金来源：</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tabs>
          <w:tab w:val="left" w:pos="5465"/>
          <w:tab w:val="left" w:pos="5892"/>
        </w:tabs>
        <w:spacing w:before="133" w:line="357" w:lineRule="auto"/>
        <w:ind w:left="432" w:right="3206" w:firstLine="96"/>
        <w:jc w:val="left"/>
        <w:rPr>
          <w:rFonts w:hint="default" w:ascii="宋体" w:hAnsi="宋体" w:eastAsia="宋体" w:cs="宋体"/>
          <w:sz w:val="21"/>
          <w:szCs w:val="21"/>
        </w:rPr>
      </w:pPr>
      <w:r>
        <w:rPr>
          <w:rFonts w:hint="default" w:ascii="宋体" w:hAnsi="宋体" w:eastAsia="宋体" w:cs="宋体"/>
          <w:w w:val="95"/>
          <w:sz w:val="21"/>
          <w:szCs w:val="21"/>
        </w:rPr>
        <w:t>5.工程内容：</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tabs>
          <w:tab w:val="left" w:pos="5465"/>
          <w:tab w:val="left" w:pos="5892"/>
        </w:tabs>
        <w:spacing w:before="133" w:line="357" w:lineRule="auto"/>
        <w:ind w:left="432" w:right="3206" w:firstLine="96"/>
        <w:jc w:val="left"/>
        <w:rPr>
          <w:rFonts w:hint="default" w:ascii="宋体" w:hAnsi="宋体" w:eastAsia="宋体" w:cs="宋体"/>
          <w:sz w:val="21"/>
          <w:szCs w:val="21"/>
        </w:rPr>
      </w:pPr>
      <w:r>
        <w:rPr>
          <w:rFonts w:hint="default" w:ascii="宋体" w:hAnsi="宋体" w:eastAsia="宋体" w:cs="宋体"/>
          <w:w w:val="99"/>
          <w:sz w:val="21"/>
          <w:szCs w:val="21"/>
        </w:rPr>
        <w:t xml:space="preserve"> </w:t>
      </w:r>
      <w:r>
        <w:rPr>
          <w:rFonts w:hint="default" w:ascii="宋体" w:hAnsi="宋体" w:eastAsia="宋体" w:cs="宋体"/>
          <w:sz w:val="21"/>
          <w:szCs w:val="21"/>
        </w:rPr>
        <w:t>群体工程应附《承包人承揽工程项目一览表》（附件</w:t>
      </w:r>
      <w:r>
        <w:rPr>
          <w:rFonts w:hint="default" w:ascii="宋体" w:hAnsi="宋体" w:eastAsia="宋体" w:cs="宋体"/>
          <w:spacing w:val="-53"/>
          <w:sz w:val="21"/>
          <w:szCs w:val="21"/>
        </w:rPr>
        <w:t xml:space="preserve"> </w:t>
      </w:r>
      <w:r>
        <w:rPr>
          <w:rFonts w:hint="default" w:ascii="宋体" w:hAnsi="宋体" w:eastAsia="宋体" w:cs="宋体"/>
          <w:sz w:val="21"/>
          <w:szCs w:val="21"/>
        </w:rPr>
        <w:t>1）。</w:t>
      </w:r>
      <w:r>
        <w:rPr>
          <w:rFonts w:hint="default" w:ascii="宋体" w:hAnsi="宋体" w:eastAsia="宋体" w:cs="宋体"/>
          <w:w w:val="99"/>
          <w:sz w:val="21"/>
          <w:szCs w:val="21"/>
        </w:rPr>
        <w:t xml:space="preserve"> </w:t>
      </w:r>
      <w:r>
        <w:rPr>
          <w:rFonts w:hint="default" w:ascii="宋体" w:hAnsi="宋体" w:eastAsia="宋体" w:cs="宋体"/>
          <w:w w:val="95"/>
          <w:sz w:val="21"/>
          <w:szCs w:val="21"/>
        </w:rPr>
        <w:t>6.工程承包范围：</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spacing w:before="150"/>
        <w:ind w:left="432" w:right="0" w:firstLine="0"/>
        <w:jc w:val="left"/>
        <w:rPr>
          <w:rFonts w:hint="default" w:ascii="宋体" w:hAnsi="宋体" w:eastAsia="宋体" w:cs="宋体"/>
          <w:sz w:val="21"/>
          <w:szCs w:val="21"/>
        </w:rPr>
      </w:pPr>
      <w:bookmarkStart w:id="39" w:name="   二、合同工期"/>
      <w:bookmarkEnd w:id="39"/>
      <w:r>
        <w:rPr>
          <w:rFonts w:hint="default" w:ascii="宋体" w:hAnsi="宋体" w:eastAsia="宋体" w:cs="宋体"/>
          <w:sz w:val="21"/>
          <w:szCs w:val="21"/>
        </w:rPr>
        <w:t>二、合同工期</w:t>
      </w:r>
    </w:p>
    <w:p>
      <w:pPr>
        <w:spacing w:before="5" w:line="240" w:lineRule="auto"/>
        <w:rPr>
          <w:rFonts w:hint="default" w:ascii="宋体" w:hAnsi="宋体" w:eastAsia="宋体" w:cs="宋体"/>
          <w:sz w:val="19"/>
          <w:szCs w:val="19"/>
        </w:rPr>
      </w:pPr>
    </w:p>
    <w:p>
      <w:pPr>
        <w:tabs>
          <w:tab w:val="left" w:pos="2467"/>
          <w:tab w:val="left" w:pos="2887"/>
        </w:tabs>
        <w:spacing w:before="0" w:line="355" w:lineRule="auto"/>
        <w:ind w:left="576" w:right="6098" w:firstLine="0"/>
        <w:jc w:val="left"/>
        <w:rPr>
          <w:rFonts w:hint="default" w:ascii="宋体" w:hAnsi="宋体" w:eastAsia="宋体" w:cs="宋体"/>
          <w:sz w:val="21"/>
          <w:szCs w:val="21"/>
        </w:rPr>
      </w:pPr>
      <w:r>
        <w:rPr>
          <w:rFonts w:hint="default" w:ascii="宋体" w:hAnsi="宋体" w:eastAsia="宋体" w:cs="宋体"/>
          <w:w w:val="95"/>
          <w:sz w:val="21"/>
          <w:szCs w:val="21"/>
        </w:rPr>
        <w:t>计划开工日期：年</w:t>
      </w:r>
      <w:r>
        <w:rPr>
          <w:rFonts w:hint="default" w:ascii="宋体" w:hAnsi="宋体" w:eastAsia="宋体" w:cs="宋体"/>
          <w:w w:val="95"/>
          <w:sz w:val="21"/>
          <w:szCs w:val="21"/>
        </w:rPr>
        <w:tab/>
      </w:r>
      <w:r>
        <w:rPr>
          <w:rFonts w:hint="default" w:ascii="宋体" w:hAnsi="宋体" w:eastAsia="宋体" w:cs="宋体"/>
          <w:w w:val="95"/>
          <w:sz w:val="21"/>
          <w:szCs w:val="21"/>
        </w:rPr>
        <w:t>月</w:t>
      </w:r>
      <w:r>
        <w:rPr>
          <w:rFonts w:hint="default" w:ascii="宋体" w:hAnsi="宋体" w:eastAsia="宋体" w:cs="宋体"/>
          <w:w w:val="95"/>
          <w:sz w:val="21"/>
          <w:szCs w:val="21"/>
        </w:rPr>
        <w:tab/>
      </w:r>
      <w:r>
        <w:rPr>
          <w:rFonts w:hint="default" w:ascii="宋体" w:hAnsi="宋体" w:eastAsia="宋体" w:cs="宋体"/>
          <w:sz w:val="21"/>
          <w:szCs w:val="21"/>
        </w:rPr>
        <w:t>日。</w:t>
      </w:r>
      <w:r>
        <w:rPr>
          <w:rFonts w:hint="default" w:ascii="宋体" w:hAnsi="宋体" w:eastAsia="宋体" w:cs="宋体"/>
          <w:w w:val="99"/>
          <w:sz w:val="21"/>
          <w:szCs w:val="21"/>
        </w:rPr>
        <w:t xml:space="preserve"> </w:t>
      </w:r>
      <w:r>
        <w:rPr>
          <w:rFonts w:hint="default" w:ascii="宋体" w:hAnsi="宋体" w:eastAsia="宋体" w:cs="宋体"/>
          <w:w w:val="95"/>
          <w:sz w:val="21"/>
          <w:szCs w:val="21"/>
        </w:rPr>
        <w:t>计划竣工日期：年</w:t>
      </w:r>
      <w:r>
        <w:rPr>
          <w:rFonts w:hint="default" w:ascii="宋体" w:hAnsi="宋体" w:eastAsia="宋体" w:cs="宋体"/>
          <w:w w:val="95"/>
          <w:sz w:val="21"/>
          <w:szCs w:val="21"/>
        </w:rPr>
        <w:tab/>
      </w:r>
      <w:r>
        <w:rPr>
          <w:rFonts w:hint="default" w:ascii="宋体" w:hAnsi="宋体" w:eastAsia="宋体" w:cs="宋体"/>
          <w:w w:val="95"/>
          <w:sz w:val="21"/>
          <w:szCs w:val="21"/>
        </w:rPr>
        <w:t>月</w:t>
      </w:r>
      <w:r>
        <w:rPr>
          <w:rFonts w:hint="default" w:ascii="宋体" w:hAnsi="宋体" w:eastAsia="宋体" w:cs="宋体"/>
          <w:w w:val="95"/>
          <w:sz w:val="21"/>
          <w:szCs w:val="21"/>
        </w:rPr>
        <w:tab/>
      </w:r>
      <w:r>
        <w:rPr>
          <w:rFonts w:hint="default" w:ascii="宋体" w:hAnsi="宋体" w:eastAsia="宋体" w:cs="宋体"/>
          <w:sz w:val="21"/>
          <w:szCs w:val="21"/>
        </w:rPr>
        <w:t>日。</w:t>
      </w:r>
    </w:p>
    <w:p>
      <w:pPr>
        <w:tabs>
          <w:tab w:val="left" w:pos="2467"/>
        </w:tabs>
        <w:spacing w:before="34" w:line="355" w:lineRule="auto"/>
        <w:ind w:left="118" w:right="112" w:firstLine="458"/>
        <w:jc w:val="left"/>
        <w:rPr>
          <w:rFonts w:hint="default" w:ascii="宋体" w:hAnsi="宋体" w:eastAsia="宋体" w:cs="宋体"/>
          <w:sz w:val="21"/>
          <w:szCs w:val="21"/>
        </w:rPr>
      </w:pPr>
      <w:r>
        <w:rPr>
          <w:rFonts w:hint="default" w:ascii="宋体" w:hAnsi="宋体" w:eastAsia="宋体" w:cs="宋体"/>
          <w:w w:val="99"/>
          <w:sz w:val="21"/>
          <w:szCs w:val="21"/>
        </w:rPr>
        <w:t>工期总日历天数：</w:t>
      </w:r>
      <w:r>
        <w:rPr>
          <w:rFonts w:hint="default" w:ascii="宋体" w:hAnsi="宋体" w:eastAsia="宋体" w:cs="宋体"/>
          <w:w w:val="99"/>
          <w:sz w:val="21"/>
          <w:szCs w:val="21"/>
        </w:rPr>
        <w:tab/>
      </w:r>
      <w:r>
        <w:rPr>
          <w:rFonts w:hint="default" w:ascii="宋体" w:hAnsi="宋体" w:eastAsia="宋体" w:cs="宋体"/>
          <w:spacing w:val="-3"/>
          <w:w w:val="99"/>
          <w:sz w:val="21"/>
          <w:szCs w:val="21"/>
        </w:rPr>
        <w:t>天。工期总日历天数与根据前述计划开竣工日期计算的工期天数不一致的，</w:t>
      </w:r>
      <w:r>
        <w:rPr>
          <w:rFonts w:hint="default" w:ascii="宋体" w:hAnsi="宋体" w:eastAsia="宋体" w:cs="宋体"/>
          <w:w w:val="99"/>
          <w:sz w:val="21"/>
          <w:szCs w:val="21"/>
        </w:rPr>
        <w:t xml:space="preserve"> </w:t>
      </w:r>
      <w:r>
        <w:rPr>
          <w:rFonts w:hint="default" w:ascii="宋体" w:hAnsi="宋体" w:eastAsia="宋体" w:cs="宋体"/>
          <w:sz w:val="21"/>
          <w:szCs w:val="21"/>
        </w:rPr>
        <w:t>以工期总日历天数为准。</w:t>
      </w:r>
    </w:p>
    <w:p>
      <w:pPr>
        <w:numPr>
          <w:ilvl w:val="0"/>
          <w:numId w:val="0"/>
        </w:numPr>
        <w:spacing w:before="152" w:line="360" w:lineRule="auto"/>
        <w:ind w:right="5908" w:rightChars="0" w:firstLine="210" w:firstLineChars="100"/>
        <w:jc w:val="left"/>
        <w:rPr>
          <w:rFonts w:hint="default" w:ascii="宋体" w:hAnsi="宋体" w:eastAsia="宋体" w:cs="宋体"/>
          <w:w w:val="99"/>
          <w:sz w:val="21"/>
          <w:szCs w:val="21"/>
        </w:rPr>
      </w:pPr>
      <w:bookmarkStart w:id="40" w:name="    三、质量标准"/>
      <w:bookmarkEnd w:id="40"/>
      <w:r>
        <w:rPr>
          <w:rFonts w:hint="eastAsia" w:ascii="宋体" w:hAnsi="宋体" w:eastAsia="宋体" w:cs="宋体"/>
          <w:sz w:val="21"/>
          <w:szCs w:val="21"/>
          <w:lang w:val="en-US" w:eastAsia="zh-CN"/>
        </w:rPr>
        <w:t>三、</w:t>
      </w:r>
      <w:r>
        <w:rPr>
          <w:rFonts w:hint="default" w:ascii="宋体" w:hAnsi="宋体" w:eastAsia="宋体" w:cs="宋体"/>
          <w:sz w:val="21"/>
          <w:szCs w:val="21"/>
        </w:rPr>
        <w:t>质量标准</w:t>
      </w:r>
      <w:r>
        <w:rPr>
          <w:rFonts w:hint="default" w:ascii="宋体" w:hAnsi="宋体" w:eastAsia="宋体" w:cs="宋体"/>
          <w:w w:val="99"/>
          <w:sz w:val="21"/>
          <w:szCs w:val="21"/>
        </w:rPr>
        <w:t xml:space="preserve"> </w:t>
      </w:r>
    </w:p>
    <w:p>
      <w:pPr>
        <w:numPr>
          <w:ilvl w:val="0"/>
          <w:numId w:val="0"/>
        </w:numPr>
        <w:spacing w:before="152" w:line="360" w:lineRule="auto"/>
        <w:ind w:left="598" w:leftChars="0" w:right="5908" w:rightChars="0"/>
        <w:jc w:val="left"/>
        <w:rPr>
          <w:rFonts w:hint="default" w:ascii="宋体" w:hAnsi="宋体" w:eastAsia="宋体" w:cs="宋体"/>
          <w:sz w:val="21"/>
          <w:szCs w:val="21"/>
        </w:rPr>
      </w:pPr>
      <w:r>
        <w:rPr>
          <w:rFonts w:hint="default" w:ascii="宋体" w:hAnsi="宋体" w:eastAsia="宋体" w:cs="宋体"/>
          <w:sz w:val="21"/>
          <w:szCs w:val="21"/>
        </w:rPr>
        <w:t>工程质量符合标准。</w:t>
      </w:r>
    </w:p>
    <w:p>
      <w:pPr>
        <w:numPr>
          <w:ilvl w:val="0"/>
          <w:numId w:val="0"/>
        </w:numPr>
        <w:spacing w:before="152" w:line="360" w:lineRule="auto"/>
        <w:ind w:right="5908" w:rightChars="0" w:firstLine="207" w:firstLineChars="100"/>
        <w:jc w:val="left"/>
        <w:rPr>
          <w:rFonts w:hint="default" w:ascii="宋体" w:hAnsi="宋体" w:eastAsia="宋体" w:cs="宋体"/>
          <w:sz w:val="21"/>
          <w:szCs w:val="21"/>
        </w:rPr>
      </w:pPr>
      <w:r>
        <w:rPr>
          <w:rFonts w:hint="eastAsia" w:ascii="宋体" w:hAnsi="宋体" w:eastAsia="宋体" w:cs="宋体"/>
          <w:w w:val="99"/>
          <w:sz w:val="21"/>
          <w:szCs w:val="21"/>
          <w:lang w:val="en-US" w:eastAsia="zh-CN"/>
        </w:rPr>
        <w:t>四、</w:t>
      </w:r>
      <w:r>
        <w:rPr>
          <w:rFonts w:hint="default" w:ascii="宋体" w:hAnsi="宋体" w:eastAsia="宋体" w:cs="宋体"/>
          <w:w w:val="99"/>
          <w:sz w:val="21"/>
          <w:szCs w:val="21"/>
        </w:rPr>
        <w:t xml:space="preserve"> </w:t>
      </w:r>
      <w:bookmarkStart w:id="41" w:name="    四、签约合同价与合同价格形式"/>
      <w:bookmarkEnd w:id="41"/>
      <w:r>
        <w:rPr>
          <w:rFonts w:hint="default" w:ascii="宋体" w:hAnsi="宋体" w:eastAsia="宋体" w:cs="宋体"/>
          <w:sz w:val="21"/>
          <w:szCs w:val="21"/>
        </w:rPr>
        <w:t>签约合同价与合同价格形式</w:t>
      </w:r>
    </w:p>
    <w:p>
      <w:pPr>
        <w:spacing w:before="60"/>
        <w:ind w:left="538" w:right="0" w:firstLine="0"/>
        <w:jc w:val="left"/>
        <w:rPr>
          <w:rFonts w:hint="default" w:ascii="宋体" w:hAnsi="宋体" w:eastAsia="宋体" w:cs="宋体"/>
          <w:sz w:val="21"/>
          <w:szCs w:val="21"/>
        </w:rPr>
      </w:pPr>
      <w:r>
        <w:rPr>
          <w:rFonts w:hint="default" w:ascii="宋体" w:hAnsi="宋体" w:eastAsia="宋体" w:cs="宋体"/>
          <w:sz w:val="21"/>
          <w:szCs w:val="21"/>
        </w:rPr>
        <w:t>1.签约合同价为：</w:t>
      </w:r>
    </w:p>
    <w:p>
      <w:pPr>
        <w:tabs>
          <w:tab w:val="left" w:pos="3898"/>
          <w:tab w:val="left" w:pos="5367"/>
        </w:tabs>
        <w:spacing w:before="135" w:line="355" w:lineRule="auto"/>
        <w:ind w:left="538" w:right="3512" w:firstLine="105"/>
        <w:jc w:val="left"/>
        <w:rPr>
          <w:rFonts w:hint="default" w:ascii="宋体" w:hAnsi="宋体" w:eastAsia="宋体" w:cs="宋体"/>
          <w:sz w:val="21"/>
          <w:szCs w:val="21"/>
        </w:rPr>
      </w:pPr>
      <w:r>
        <w:rPr>
          <w:rFonts w:hint="default" w:ascii="宋体" w:hAnsi="宋体" w:eastAsia="宋体" w:cs="宋体"/>
          <w:w w:val="95"/>
          <w:sz w:val="21"/>
          <w:szCs w:val="21"/>
        </w:rPr>
        <w:t>人民币（大写）</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pacing w:val="-1"/>
          <w:sz w:val="21"/>
          <w:szCs w:val="21"/>
        </w:rPr>
        <w:t>(¥</w:t>
      </w:r>
      <w:r>
        <w:rPr>
          <w:rFonts w:hint="default" w:ascii="Times New Roman" w:hAnsi="Times New Roman" w:eastAsia="Times New Roman" w:cs="Times New Roman"/>
          <w:spacing w:val="-1"/>
          <w:sz w:val="21"/>
          <w:szCs w:val="21"/>
          <w:u w:val="single" w:color="000000"/>
        </w:rPr>
        <w:t xml:space="preserve"> </w:t>
      </w:r>
      <w:r>
        <w:rPr>
          <w:rFonts w:hint="default" w:ascii="Times New Roman" w:hAnsi="Times New Roman" w:eastAsia="Times New Roman" w:cs="Times New Roman"/>
          <w:spacing w:val="-1"/>
          <w:sz w:val="21"/>
          <w:szCs w:val="21"/>
          <w:u w:val="single" w:color="000000"/>
        </w:rPr>
        <w:tab/>
      </w:r>
      <w:r>
        <w:rPr>
          <w:rFonts w:hint="default" w:ascii="宋体" w:hAnsi="宋体" w:eastAsia="宋体" w:cs="宋体"/>
          <w:spacing w:val="1"/>
          <w:sz w:val="21"/>
          <w:szCs w:val="21"/>
        </w:rPr>
        <w:t>元)；</w:t>
      </w:r>
      <w:r>
        <w:rPr>
          <w:rFonts w:hint="default" w:ascii="宋体" w:hAnsi="宋体" w:eastAsia="宋体" w:cs="宋体"/>
          <w:w w:val="99"/>
          <w:sz w:val="21"/>
          <w:szCs w:val="21"/>
        </w:rPr>
        <w:t xml:space="preserve"> </w:t>
      </w:r>
      <w:r>
        <w:rPr>
          <w:rFonts w:hint="default" w:ascii="宋体" w:hAnsi="宋体" w:eastAsia="宋体" w:cs="宋体"/>
          <w:sz w:val="21"/>
          <w:szCs w:val="21"/>
        </w:rPr>
        <w:t>其中：</w:t>
      </w:r>
    </w:p>
    <w:p>
      <w:pPr>
        <w:spacing w:before="32"/>
        <w:ind w:left="538" w:right="0" w:firstLine="0"/>
        <w:jc w:val="left"/>
        <w:rPr>
          <w:rFonts w:hint="default" w:ascii="宋体" w:hAnsi="宋体" w:eastAsia="宋体" w:cs="宋体"/>
          <w:sz w:val="21"/>
          <w:szCs w:val="21"/>
        </w:rPr>
      </w:pPr>
      <w:r>
        <w:rPr>
          <w:rFonts w:hint="default" w:ascii="宋体" w:hAnsi="宋体" w:eastAsia="宋体" w:cs="宋体"/>
          <w:sz w:val="21"/>
          <w:szCs w:val="21"/>
        </w:rPr>
        <w:t>（1）安全文明施工费：</w:t>
      </w:r>
    </w:p>
    <w:p>
      <w:pPr>
        <w:tabs>
          <w:tab w:val="left" w:pos="4055"/>
          <w:tab w:val="left" w:pos="5367"/>
        </w:tabs>
        <w:spacing w:before="133"/>
        <w:ind w:left="1064" w:right="0" w:firstLine="0"/>
        <w:jc w:val="left"/>
        <w:rPr>
          <w:rFonts w:hint="default" w:ascii="宋体" w:hAnsi="宋体" w:eastAsia="宋体" w:cs="宋体"/>
          <w:sz w:val="21"/>
          <w:szCs w:val="21"/>
        </w:rPr>
      </w:pPr>
      <w:r>
        <w:rPr>
          <w:rFonts w:hint="default" w:ascii="宋体" w:hAnsi="宋体" w:eastAsia="宋体" w:cs="宋体"/>
          <w:w w:val="95"/>
          <w:sz w:val="21"/>
          <w:szCs w:val="21"/>
        </w:rPr>
        <w:t>人民币（大写）</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r>
        <w:rPr>
          <w:rFonts w:hint="default" w:ascii="Times New Roman" w:hAnsi="Times New Roman" w:eastAsia="Times New Roman" w:cs="Times New Roman"/>
          <w:sz w:val="21"/>
          <w:szCs w:val="21"/>
          <w:u w:val="single" w:color="000000"/>
        </w:rPr>
        <w:t xml:space="preserve"> </w:t>
      </w:r>
      <w:r>
        <w:rPr>
          <w:rFonts w:hint="default" w:ascii="Times New Roman" w:hAnsi="Times New Roman" w:eastAsia="Times New Roman" w:cs="Times New Roman"/>
          <w:sz w:val="21"/>
          <w:szCs w:val="21"/>
          <w:u w:val="single" w:color="000000"/>
        </w:rPr>
        <w:tab/>
      </w:r>
      <w:r>
        <w:rPr>
          <w:rFonts w:hint="default" w:ascii="宋体" w:hAnsi="宋体" w:eastAsia="宋体" w:cs="宋体"/>
          <w:sz w:val="21"/>
          <w:szCs w:val="21"/>
        </w:rPr>
        <w:t>元)；</w:t>
      </w:r>
    </w:p>
    <w:p>
      <w:pPr>
        <w:spacing w:before="135"/>
        <w:ind w:left="538" w:right="0" w:firstLine="0"/>
        <w:jc w:val="left"/>
        <w:rPr>
          <w:rFonts w:hint="default" w:ascii="宋体" w:hAnsi="宋体" w:eastAsia="宋体" w:cs="宋体"/>
          <w:sz w:val="21"/>
          <w:szCs w:val="21"/>
        </w:rPr>
      </w:pPr>
      <w:r>
        <w:rPr>
          <w:rFonts w:hint="default" w:ascii="宋体" w:hAnsi="宋体" w:eastAsia="宋体" w:cs="宋体"/>
          <w:sz w:val="21"/>
          <w:szCs w:val="21"/>
        </w:rPr>
        <w:t>（2）材料和工程设备暂估价金额：</w:t>
      </w:r>
    </w:p>
    <w:p>
      <w:pPr>
        <w:tabs>
          <w:tab w:val="left" w:pos="4055"/>
          <w:tab w:val="left" w:pos="5367"/>
        </w:tabs>
        <w:spacing w:before="133"/>
        <w:ind w:left="1064" w:right="0" w:firstLine="0"/>
        <w:jc w:val="left"/>
        <w:rPr>
          <w:rFonts w:hint="default" w:ascii="宋体" w:hAnsi="宋体" w:eastAsia="宋体" w:cs="宋体"/>
          <w:sz w:val="21"/>
          <w:szCs w:val="21"/>
        </w:rPr>
      </w:pPr>
      <w:r>
        <w:rPr>
          <w:rFonts w:hint="default" w:ascii="宋体" w:hAnsi="宋体" w:eastAsia="宋体" w:cs="宋体"/>
          <w:w w:val="95"/>
          <w:sz w:val="21"/>
          <w:szCs w:val="21"/>
        </w:rPr>
        <w:t>人民币（大写）</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r>
        <w:rPr>
          <w:rFonts w:hint="default" w:ascii="Times New Roman" w:hAnsi="Times New Roman" w:eastAsia="Times New Roman" w:cs="Times New Roman"/>
          <w:sz w:val="21"/>
          <w:szCs w:val="21"/>
          <w:u w:val="single" w:color="000000"/>
        </w:rPr>
        <w:t xml:space="preserve"> </w:t>
      </w:r>
      <w:r>
        <w:rPr>
          <w:rFonts w:hint="default" w:ascii="Times New Roman" w:hAnsi="Times New Roman" w:eastAsia="Times New Roman" w:cs="Times New Roman"/>
          <w:sz w:val="21"/>
          <w:szCs w:val="21"/>
          <w:u w:val="single" w:color="000000"/>
        </w:rPr>
        <w:tab/>
      </w:r>
      <w:r>
        <w:rPr>
          <w:rFonts w:hint="default" w:ascii="宋体" w:hAnsi="宋体" w:eastAsia="宋体" w:cs="宋体"/>
          <w:sz w:val="21"/>
          <w:szCs w:val="21"/>
        </w:rPr>
        <w:t>元)；</w:t>
      </w:r>
    </w:p>
    <w:p>
      <w:pPr>
        <w:spacing w:after="0"/>
        <w:jc w:val="left"/>
        <w:rPr>
          <w:rFonts w:hint="default" w:ascii="宋体" w:hAnsi="宋体" w:eastAsia="宋体" w:cs="宋体"/>
          <w:sz w:val="21"/>
          <w:szCs w:val="21"/>
        </w:rPr>
        <w:sectPr>
          <w:footerReference r:id="rId6" w:type="first"/>
          <w:footerReference r:id="rId5" w:type="default"/>
          <w:pgSz w:w="11911" w:h="16838"/>
          <w:pgMar w:top="1134" w:right="1134" w:bottom="1134" w:left="1134" w:header="680" w:footer="850" w:gutter="0"/>
          <w:pgNumType w:fmt="decimal" w:start="1"/>
          <w:cols w:space="720" w:num="1"/>
          <w:titlePg/>
          <w:rtlGutter w:val="0"/>
          <w:docGrid w:linePitch="0" w:charSpace="0"/>
        </w:sectPr>
      </w:pPr>
    </w:p>
    <w:p>
      <w:pPr>
        <w:spacing w:before="8" w:line="240" w:lineRule="auto"/>
        <w:rPr>
          <w:rFonts w:hint="default" w:ascii="宋体" w:hAnsi="宋体" w:eastAsia="宋体" w:cs="宋体"/>
          <w:sz w:val="19"/>
          <w:szCs w:val="19"/>
        </w:rPr>
      </w:pPr>
    </w:p>
    <w:p>
      <w:pPr>
        <w:spacing w:before="34"/>
        <w:ind w:left="538" w:right="4003" w:firstLine="0"/>
        <w:jc w:val="left"/>
        <w:rPr>
          <w:rFonts w:hint="default" w:ascii="宋体" w:hAnsi="宋体" w:eastAsia="宋体" w:cs="宋体"/>
          <w:sz w:val="21"/>
          <w:szCs w:val="21"/>
        </w:rPr>
      </w:pPr>
      <w:r>
        <w:rPr>
          <w:rFonts w:hint="default" w:ascii="宋体" w:hAnsi="宋体" w:eastAsia="宋体" w:cs="宋体"/>
          <w:sz w:val="21"/>
          <w:szCs w:val="21"/>
        </w:rPr>
        <w:t>（3）专业工程暂估价金额：</w:t>
      </w:r>
    </w:p>
    <w:p>
      <w:pPr>
        <w:tabs>
          <w:tab w:val="left" w:pos="4055"/>
          <w:tab w:val="left" w:pos="5367"/>
        </w:tabs>
        <w:spacing w:before="133"/>
        <w:ind w:left="1064" w:right="101" w:firstLine="0"/>
        <w:jc w:val="left"/>
        <w:rPr>
          <w:rFonts w:hint="default" w:ascii="宋体" w:hAnsi="宋体" w:eastAsia="宋体" w:cs="宋体"/>
          <w:sz w:val="21"/>
          <w:szCs w:val="21"/>
        </w:rPr>
      </w:pPr>
      <w:r>
        <w:rPr>
          <w:rFonts w:hint="default" w:ascii="宋体" w:hAnsi="宋体" w:eastAsia="宋体" w:cs="宋体"/>
          <w:w w:val="95"/>
          <w:sz w:val="21"/>
          <w:szCs w:val="21"/>
        </w:rPr>
        <w:t>人民币（大写）</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r>
        <w:rPr>
          <w:rFonts w:hint="default" w:ascii="Times New Roman" w:hAnsi="Times New Roman" w:eastAsia="Times New Roman" w:cs="Times New Roman"/>
          <w:sz w:val="21"/>
          <w:szCs w:val="21"/>
          <w:u w:val="single" w:color="000000"/>
        </w:rPr>
        <w:t xml:space="preserve"> </w:t>
      </w:r>
      <w:r>
        <w:rPr>
          <w:rFonts w:hint="default" w:ascii="Times New Roman" w:hAnsi="Times New Roman" w:eastAsia="Times New Roman" w:cs="Times New Roman"/>
          <w:sz w:val="21"/>
          <w:szCs w:val="21"/>
          <w:u w:val="single" w:color="000000"/>
        </w:rPr>
        <w:tab/>
      </w:r>
      <w:r>
        <w:rPr>
          <w:rFonts w:hint="default" w:ascii="宋体" w:hAnsi="宋体" w:eastAsia="宋体" w:cs="宋体"/>
          <w:sz w:val="21"/>
          <w:szCs w:val="21"/>
        </w:rPr>
        <w:t>元)；</w:t>
      </w:r>
    </w:p>
    <w:p>
      <w:pPr>
        <w:spacing w:before="135"/>
        <w:ind w:left="538" w:right="4003" w:firstLine="0"/>
        <w:jc w:val="left"/>
        <w:rPr>
          <w:rFonts w:hint="default" w:ascii="宋体" w:hAnsi="宋体" w:eastAsia="宋体" w:cs="宋体"/>
          <w:sz w:val="21"/>
          <w:szCs w:val="21"/>
        </w:rPr>
      </w:pPr>
      <w:r>
        <w:rPr>
          <w:rFonts w:hint="default" w:ascii="宋体" w:hAnsi="宋体" w:eastAsia="宋体" w:cs="宋体"/>
          <w:sz w:val="21"/>
          <w:szCs w:val="21"/>
        </w:rPr>
        <w:t>（4）暂列金额：</w:t>
      </w:r>
    </w:p>
    <w:p>
      <w:pPr>
        <w:tabs>
          <w:tab w:val="left" w:pos="4055"/>
          <w:tab w:val="left" w:pos="4527"/>
          <w:tab w:val="left" w:pos="5367"/>
        </w:tabs>
        <w:spacing w:before="133" w:line="355" w:lineRule="auto"/>
        <w:ind w:left="538" w:right="3412" w:firstLine="525"/>
        <w:jc w:val="left"/>
        <w:rPr>
          <w:rFonts w:hint="default" w:ascii="宋体" w:hAnsi="宋体" w:eastAsia="宋体" w:cs="宋体"/>
          <w:sz w:val="21"/>
          <w:szCs w:val="21"/>
        </w:rPr>
      </w:pPr>
      <w:r>
        <w:rPr>
          <w:rFonts w:hint="default" w:ascii="宋体" w:hAnsi="宋体" w:eastAsia="宋体" w:cs="宋体"/>
          <w:w w:val="95"/>
          <w:sz w:val="21"/>
          <w:szCs w:val="21"/>
        </w:rPr>
        <w:t>人民币（大写）</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r>
        <w:rPr>
          <w:rFonts w:hint="default" w:ascii="Times New Roman" w:hAnsi="Times New Roman" w:eastAsia="Times New Roman" w:cs="Times New Roman"/>
          <w:sz w:val="21"/>
          <w:szCs w:val="21"/>
          <w:u w:val="single" w:color="000000"/>
        </w:rPr>
        <w:t xml:space="preserve"> </w:t>
      </w:r>
      <w:r>
        <w:rPr>
          <w:rFonts w:hint="default" w:ascii="Times New Roman" w:hAnsi="Times New Roman" w:eastAsia="Times New Roman" w:cs="Times New Roman"/>
          <w:sz w:val="21"/>
          <w:szCs w:val="21"/>
          <w:u w:val="single" w:color="000000"/>
        </w:rPr>
        <w:tab/>
      </w:r>
      <w:r>
        <w:rPr>
          <w:rFonts w:hint="default" w:ascii="Times New Roman" w:hAnsi="Times New Roman" w:eastAsia="Times New Roman" w:cs="Times New Roman"/>
          <w:sz w:val="21"/>
          <w:szCs w:val="21"/>
          <w:u w:val="single" w:color="000000"/>
        </w:rPr>
        <w:tab/>
      </w:r>
      <w:r>
        <w:rPr>
          <w:rFonts w:hint="default" w:ascii="宋体" w:hAnsi="宋体" w:eastAsia="宋体" w:cs="宋体"/>
          <w:sz w:val="21"/>
          <w:szCs w:val="21"/>
        </w:rPr>
        <w:t>元)。</w:t>
      </w:r>
      <w:r>
        <w:rPr>
          <w:rFonts w:hint="default" w:ascii="宋体" w:hAnsi="宋体" w:eastAsia="宋体" w:cs="宋体"/>
          <w:w w:val="99"/>
          <w:sz w:val="21"/>
          <w:szCs w:val="21"/>
        </w:rPr>
        <w:t xml:space="preserve"> </w:t>
      </w:r>
      <w:r>
        <w:rPr>
          <w:rFonts w:hint="default" w:ascii="宋体" w:hAnsi="宋体" w:eastAsia="宋体" w:cs="宋体"/>
          <w:w w:val="95"/>
          <w:sz w:val="21"/>
          <w:szCs w:val="21"/>
        </w:rPr>
        <w:t>2.合同价格形式：</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p>
    <w:p>
      <w:pPr>
        <w:spacing w:before="152"/>
        <w:ind w:left="538" w:right="4003" w:firstLine="0"/>
        <w:jc w:val="left"/>
        <w:rPr>
          <w:rFonts w:hint="default" w:ascii="宋体" w:hAnsi="宋体" w:eastAsia="宋体" w:cs="宋体"/>
          <w:sz w:val="21"/>
          <w:szCs w:val="21"/>
        </w:rPr>
      </w:pPr>
      <w:bookmarkStart w:id="42" w:name="    五、项目经理"/>
      <w:bookmarkEnd w:id="42"/>
      <w:r>
        <w:rPr>
          <w:rFonts w:hint="default" w:ascii="宋体" w:hAnsi="宋体" w:eastAsia="宋体" w:cs="宋体"/>
          <w:sz w:val="21"/>
          <w:szCs w:val="21"/>
        </w:rPr>
        <w:t>五、项目经理</w:t>
      </w:r>
    </w:p>
    <w:p>
      <w:pPr>
        <w:tabs>
          <w:tab w:val="left" w:pos="4423"/>
        </w:tabs>
        <w:spacing w:before="0" w:line="530" w:lineRule="atLeast"/>
        <w:ind w:left="538" w:right="4672" w:firstLine="0"/>
        <w:jc w:val="left"/>
        <w:rPr>
          <w:rFonts w:hint="default" w:ascii="宋体" w:hAnsi="宋体" w:eastAsia="宋体" w:cs="宋体"/>
          <w:sz w:val="21"/>
          <w:szCs w:val="21"/>
        </w:rPr>
      </w:pPr>
      <w:r>
        <w:rPr>
          <w:rFonts w:hint="default" w:ascii="宋体" w:hAnsi="宋体" w:eastAsia="宋体" w:cs="宋体"/>
          <w:w w:val="95"/>
          <w:sz w:val="21"/>
          <w:szCs w:val="21"/>
        </w:rPr>
        <w:t>承包人项目经理：</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z w:val="21"/>
          <w:szCs w:val="21"/>
        </w:rPr>
        <w:t>。</w:t>
      </w:r>
      <w:r>
        <w:rPr>
          <w:rFonts w:hint="default" w:ascii="宋体" w:hAnsi="宋体" w:eastAsia="宋体" w:cs="宋体"/>
          <w:w w:val="99"/>
          <w:sz w:val="21"/>
          <w:szCs w:val="21"/>
        </w:rPr>
        <w:t xml:space="preserve"> </w:t>
      </w:r>
      <w:bookmarkStart w:id="43" w:name="    六、合同文件构成"/>
      <w:bookmarkEnd w:id="43"/>
      <w:r>
        <w:rPr>
          <w:rFonts w:hint="default" w:ascii="宋体" w:hAnsi="宋体" w:eastAsia="宋体" w:cs="宋体"/>
          <w:sz w:val="21"/>
          <w:szCs w:val="21"/>
        </w:rPr>
        <w:t>六、合同文件构成</w:t>
      </w:r>
      <w:r>
        <w:rPr>
          <w:rFonts w:hint="default" w:ascii="宋体" w:hAnsi="宋体" w:eastAsia="宋体" w:cs="宋体"/>
          <w:w w:val="99"/>
          <w:sz w:val="21"/>
          <w:szCs w:val="21"/>
        </w:rPr>
        <w:t xml:space="preserve"> </w:t>
      </w:r>
      <w:r>
        <w:rPr>
          <w:rFonts w:hint="default" w:ascii="宋体" w:hAnsi="宋体" w:eastAsia="宋体" w:cs="宋体"/>
          <w:sz w:val="21"/>
          <w:szCs w:val="21"/>
        </w:rPr>
        <w:t>本协议书与下列文件一起构成合同文件：</w:t>
      </w:r>
    </w:p>
    <w:p>
      <w:pPr>
        <w:spacing w:before="133"/>
        <w:ind w:left="538" w:right="4003" w:firstLine="0"/>
        <w:jc w:val="left"/>
        <w:rPr>
          <w:rFonts w:hint="default" w:ascii="宋体" w:hAnsi="宋体" w:eastAsia="宋体" w:cs="宋体"/>
          <w:sz w:val="21"/>
          <w:szCs w:val="21"/>
        </w:rPr>
      </w:pPr>
      <w:r>
        <w:rPr>
          <w:rFonts w:hint="default" w:ascii="宋体" w:hAnsi="宋体" w:eastAsia="宋体" w:cs="宋体"/>
          <w:sz w:val="21"/>
          <w:szCs w:val="21"/>
        </w:rPr>
        <w:t>（1）中标通知书（如果有）；</w:t>
      </w:r>
    </w:p>
    <w:p>
      <w:pPr>
        <w:spacing w:before="135"/>
        <w:ind w:left="538" w:right="4003" w:firstLine="0"/>
        <w:jc w:val="left"/>
        <w:rPr>
          <w:rFonts w:hint="default" w:ascii="宋体" w:hAnsi="宋体" w:eastAsia="宋体" w:cs="宋体"/>
          <w:sz w:val="21"/>
          <w:szCs w:val="21"/>
        </w:rPr>
      </w:pPr>
      <w:r>
        <w:rPr>
          <w:rFonts w:hint="default" w:ascii="宋体" w:hAnsi="宋体" w:eastAsia="宋体" w:cs="宋体"/>
          <w:sz w:val="21"/>
          <w:szCs w:val="21"/>
        </w:rPr>
        <w:t>（2）报价函及其附录（如果有）；</w:t>
      </w:r>
    </w:p>
    <w:p>
      <w:pPr>
        <w:spacing w:before="133"/>
        <w:ind w:left="538" w:right="4003" w:firstLine="0"/>
        <w:jc w:val="left"/>
        <w:rPr>
          <w:rFonts w:hint="default" w:ascii="宋体" w:hAnsi="宋体" w:eastAsia="宋体" w:cs="宋体"/>
          <w:sz w:val="21"/>
          <w:szCs w:val="21"/>
        </w:rPr>
      </w:pPr>
      <w:r>
        <w:rPr>
          <w:rFonts w:hint="default" w:ascii="宋体" w:hAnsi="宋体" w:eastAsia="宋体" w:cs="宋体"/>
          <w:sz w:val="21"/>
          <w:szCs w:val="21"/>
        </w:rPr>
        <w:t>（3）专用合同条款及其附件；</w:t>
      </w:r>
    </w:p>
    <w:p>
      <w:pPr>
        <w:spacing w:before="133"/>
        <w:ind w:left="538" w:right="4003" w:firstLine="0"/>
        <w:jc w:val="left"/>
        <w:rPr>
          <w:rFonts w:hint="default" w:ascii="宋体" w:hAnsi="宋体" w:eastAsia="宋体" w:cs="宋体"/>
          <w:sz w:val="21"/>
          <w:szCs w:val="21"/>
        </w:rPr>
      </w:pPr>
      <w:r>
        <w:rPr>
          <w:rFonts w:hint="default" w:ascii="宋体" w:hAnsi="宋体" w:eastAsia="宋体" w:cs="宋体"/>
          <w:sz w:val="21"/>
          <w:szCs w:val="21"/>
        </w:rPr>
        <w:t>（4）通用合同条款；</w:t>
      </w:r>
    </w:p>
    <w:p>
      <w:pPr>
        <w:spacing w:before="133"/>
        <w:ind w:left="538" w:right="4003" w:firstLine="0"/>
        <w:jc w:val="left"/>
        <w:rPr>
          <w:rFonts w:hint="default" w:ascii="宋体" w:hAnsi="宋体" w:eastAsia="宋体" w:cs="宋体"/>
          <w:sz w:val="21"/>
          <w:szCs w:val="21"/>
        </w:rPr>
      </w:pPr>
      <w:r>
        <w:rPr>
          <w:rFonts w:hint="default" w:ascii="宋体" w:hAnsi="宋体" w:eastAsia="宋体" w:cs="宋体"/>
          <w:sz w:val="21"/>
          <w:szCs w:val="21"/>
        </w:rPr>
        <w:t>（5）技术标准和要求；</w:t>
      </w:r>
    </w:p>
    <w:p>
      <w:pPr>
        <w:spacing w:before="133"/>
        <w:ind w:left="538" w:right="4003" w:firstLine="0"/>
        <w:jc w:val="left"/>
        <w:rPr>
          <w:rFonts w:hint="default" w:ascii="宋体" w:hAnsi="宋体" w:eastAsia="宋体" w:cs="宋体"/>
          <w:sz w:val="21"/>
          <w:szCs w:val="21"/>
        </w:rPr>
      </w:pPr>
      <w:r>
        <w:rPr>
          <w:rFonts w:hint="default" w:ascii="宋体" w:hAnsi="宋体" w:eastAsia="宋体" w:cs="宋体"/>
          <w:sz w:val="21"/>
          <w:szCs w:val="21"/>
        </w:rPr>
        <w:t>（6）图纸；</w:t>
      </w:r>
    </w:p>
    <w:p>
      <w:pPr>
        <w:spacing w:before="133"/>
        <w:ind w:left="538" w:right="4003" w:firstLine="0"/>
        <w:jc w:val="left"/>
        <w:rPr>
          <w:rFonts w:hint="default" w:ascii="宋体" w:hAnsi="宋体" w:eastAsia="宋体" w:cs="宋体"/>
          <w:sz w:val="21"/>
          <w:szCs w:val="21"/>
        </w:rPr>
      </w:pPr>
      <w:r>
        <w:rPr>
          <w:rFonts w:hint="default" w:ascii="宋体" w:hAnsi="宋体" w:eastAsia="宋体" w:cs="宋体"/>
          <w:sz w:val="21"/>
          <w:szCs w:val="21"/>
        </w:rPr>
        <w:t>（7）已标价工程量清单或预算书；</w:t>
      </w:r>
    </w:p>
    <w:p>
      <w:pPr>
        <w:spacing w:before="135" w:line="355" w:lineRule="auto"/>
        <w:ind w:left="538" w:right="101" w:firstLine="0"/>
        <w:jc w:val="left"/>
        <w:rPr>
          <w:rFonts w:hint="default" w:ascii="宋体" w:hAnsi="宋体" w:eastAsia="宋体" w:cs="宋体"/>
          <w:spacing w:val="50"/>
          <w:w w:val="95"/>
          <w:sz w:val="21"/>
          <w:szCs w:val="21"/>
        </w:rPr>
      </w:pPr>
      <w:r>
        <w:rPr>
          <w:rFonts w:hint="default" w:ascii="宋体" w:hAnsi="宋体" w:eastAsia="宋体" w:cs="宋体"/>
          <w:sz w:val="21"/>
          <w:szCs w:val="21"/>
        </w:rPr>
        <w:t xml:space="preserve">（8）其他合同文件。 在合同订立及履行过程中形成的与合同有关的文件均构成合同文件组成部分。 上述各项合同文件包括合同当事人就该项合同文件所作出的补充和修改，属于同一类内容的文，应以最新签署的为准。专用合同条款及其附件须经合同当事人签字或盖章。 </w:t>
      </w:r>
      <w:bookmarkStart w:id="44" w:name="    七、承诺"/>
      <w:bookmarkEnd w:id="44"/>
    </w:p>
    <w:p>
      <w:pPr>
        <w:spacing w:before="135" w:line="355" w:lineRule="auto"/>
        <w:ind w:left="538" w:right="101" w:firstLine="0"/>
        <w:jc w:val="left"/>
        <w:rPr>
          <w:rFonts w:hint="default" w:ascii="宋体" w:hAnsi="宋体" w:eastAsia="宋体" w:cs="宋体"/>
          <w:sz w:val="21"/>
          <w:szCs w:val="21"/>
        </w:rPr>
      </w:pPr>
      <w:r>
        <w:rPr>
          <w:rFonts w:hint="default" w:ascii="宋体" w:hAnsi="宋体" w:eastAsia="宋体" w:cs="宋体"/>
          <w:sz w:val="21"/>
          <w:szCs w:val="21"/>
        </w:rPr>
        <w:t>七、承诺</w:t>
      </w:r>
    </w:p>
    <w:p>
      <w:pPr>
        <w:spacing w:before="58" w:line="355"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1.发包人承诺按照法律规定履行项目审批手续、筹集工程建设资金并按照合同约定的期限和方</w:t>
      </w:r>
      <w:r>
        <w:rPr>
          <w:rFonts w:hint="default" w:ascii="宋体" w:hAnsi="宋体" w:eastAsia="宋体" w:cs="宋体"/>
          <w:w w:val="99"/>
          <w:sz w:val="21"/>
          <w:szCs w:val="21"/>
        </w:rPr>
        <w:t xml:space="preserve"> </w:t>
      </w:r>
      <w:r>
        <w:rPr>
          <w:rFonts w:hint="default" w:ascii="宋体" w:hAnsi="宋体" w:eastAsia="宋体" w:cs="宋体"/>
          <w:sz w:val="21"/>
          <w:szCs w:val="21"/>
        </w:rPr>
        <w:t>式支付合同价款。</w:t>
      </w:r>
    </w:p>
    <w:p>
      <w:pPr>
        <w:spacing w:before="32" w:line="355"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2.承包人承诺按照法律规定及合同约定组织完成工程施工，确保工程质量和安全，不进行转包</w:t>
      </w:r>
      <w:r>
        <w:rPr>
          <w:rFonts w:hint="default" w:ascii="宋体" w:hAnsi="宋体" w:eastAsia="宋体" w:cs="宋体"/>
          <w:w w:val="99"/>
          <w:sz w:val="21"/>
          <w:szCs w:val="21"/>
        </w:rPr>
        <w:t xml:space="preserve"> </w:t>
      </w:r>
      <w:r>
        <w:rPr>
          <w:rFonts w:hint="default" w:ascii="宋体" w:hAnsi="宋体" w:eastAsia="宋体" w:cs="宋体"/>
          <w:sz w:val="21"/>
          <w:szCs w:val="21"/>
        </w:rPr>
        <w:t>及违法分包，并在缺陷责任期及保修期内承担相应的工程维修责任。</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3.发包人和承包人通过招投标形式签订合同的，双方理解并承诺不再就同一工程另行签订与合</w:t>
      </w:r>
      <w:r>
        <w:rPr>
          <w:rFonts w:hint="default" w:ascii="宋体" w:hAnsi="宋体" w:eastAsia="宋体" w:cs="宋体"/>
          <w:w w:val="99"/>
          <w:sz w:val="21"/>
          <w:szCs w:val="21"/>
        </w:rPr>
        <w:t xml:space="preserve"> </w:t>
      </w:r>
      <w:r>
        <w:rPr>
          <w:rFonts w:hint="default" w:ascii="宋体" w:hAnsi="宋体" w:eastAsia="宋体" w:cs="宋体"/>
          <w:sz w:val="21"/>
          <w:szCs w:val="21"/>
        </w:rPr>
        <w:t>同实质性内容相背离的协议。</w:t>
      </w:r>
    </w:p>
    <w:p>
      <w:pPr>
        <w:spacing w:before="30" w:line="355" w:lineRule="auto"/>
        <w:ind w:left="538" w:right="2403" w:firstLine="0"/>
        <w:jc w:val="left"/>
        <w:rPr>
          <w:rFonts w:hint="default" w:ascii="宋体" w:hAnsi="宋体" w:eastAsia="宋体" w:cs="宋体"/>
          <w:b/>
          <w:bCs/>
          <w:w w:val="99"/>
          <w:sz w:val="21"/>
          <w:szCs w:val="21"/>
        </w:rPr>
      </w:pPr>
      <w:r>
        <w:rPr>
          <w:rFonts w:hint="default" w:ascii="宋体" w:hAnsi="宋体" w:eastAsia="宋体" w:cs="宋体"/>
          <w:b/>
          <w:bCs/>
          <w:sz w:val="21"/>
          <w:szCs w:val="21"/>
        </w:rPr>
        <w:t>八、词语含义</w:t>
      </w:r>
      <w:r>
        <w:rPr>
          <w:rFonts w:hint="default" w:ascii="宋体" w:hAnsi="宋体" w:eastAsia="宋体" w:cs="宋体"/>
          <w:b/>
          <w:bCs/>
          <w:w w:val="99"/>
          <w:sz w:val="21"/>
          <w:szCs w:val="21"/>
        </w:rPr>
        <w:t xml:space="preserve">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本协议书中词语含义与第二部分通用合同条款中赋予的含义相同。</w:t>
      </w:r>
    </w:p>
    <w:p>
      <w:pPr>
        <w:spacing w:before="152"/>
        <w:ind w:left="538" w:right="4003" w:firstLine="0"/>
        <w:jc w:val="left"/>
        <w:rPr>
          <w:rFonts w:hint="default" w:ascii="宋体" w:hAnsi="宋体" w:eastAsia="宋体" w:cs="宋体"/>
          <w:sz w:val="21"/>
          <w:szCs w:val="21"/>
        </w:rPr>
      </w:pPr>
      <w:bookmarkStart w:id="45" w:name="    九、签订时间"/>
      <w:bookmarkEnd w:id="45"/>
      <w:r>
        <w:rPr>
          <w:rFonts w:hint="default" w:ascii="宋体" w:hAnsi="宋体" w:eastAsia="宋体" w:cs="宋体"/>
          <w:sz w:val="21"/>
          <w:szCs w:val="21"/>
        </w:rPr>
        <w:t>九、签订时间</w:t>
      </w:r>
    </w:p>
    <w:p>
      <w:pPr>
        <w:spacing w:before="7" w:line="240" w:lineRule="auto"/>
        <w:rPr>
          <w:rFonts w:hint="default" w:ascii="宋体" w:hAnsi="宋体" w:eastAsia="宋体" w:cs="宋体"/>
          <w:sz w:val="19"/>
          <w:szCs w:val="19"/>
        </w:rPr>
      </w:pPr>
    </w:p>
    <w:p>
      <w:pPr>
        <w:tabs>
          <w:tab w:val="left" w:pos="2323"/>
          <w:tab w:val="left" w:pos="2952"/>
          <w:tab w:val="left" w:pos="3583"/>
        </w:tabs>
        <w:spacing w:before="0"/>
        <w:ind w:left="538" w:right="4003" w:firstLine="0"/>
        <w:jc w:val="left"/>
        <w:rPr>
          <w:rFonts w:hint="default" w:ascii="宋体" w:hAnsi="宋体" w:eastAsia="宋体" w:cs="宋体"/>
          <w:sz w:val="21"/>
          <w:szCs w:val="21"/>
        </w:rPr>
      </w:pPr>
      <w:r>
        <w:rPr>
          <w:rFonts w:hint="default" w:ascii="宋体" w:hAnsi="宋体" w:eastAsia="宋体" w:cs="宋体"/>
          <w:w w:val="95"/>
          <w:sz w:val="21"/>
          <w:szCs w:val="21"/>
        </w:rPr>
        <w:t>本合同于</w:t>
      </w:r>
      <w:r>
        <w:rPr>
          <w:rFonts w:hint="default" w:ascii="Times New Roman" w:hAnsi="Times New Roman" w:eastAsia="Times New Roman" w:cs="Times New Roman"/>
          <w:w w:val="95"/>
          <w:sz w:val="21"/>
          <w:szCs w:val="21"/>
          <w:u w:val="single" w:color="000000"/>
        </w:rPr>
        <w:t xml:space="preserve"> </w:t>
      </w:r>
      <w:r>
        <w:rPr>
          <w:rFonts w:hint="default" w:ascii="Times New Roman" w:hAnsi="Times New Roman" w:eastAsia="Times New Roman" w:cs="Times New Roman"/>
          <w:w w:val="95"/>
          <w:sz w:val="21"/>
          <w:szCs w:val="21"/>
          <w:u w:val="single" w:color="000000"/>
        </w:rPr>
        <w:tab/>
      </w:r>
      <w:r>
        <w:rPr>
          <w:rFonts w:hint="default" w:ascii="宋体" w:hAnsi="宋体" w:eastAsia="宋体" w:cs="宋体"/>
          <w:spacing w:val="-1"/>
          <w:w w:val="95"/>
          <w:sz w:val="21"/>
          <w:szCs w:val="21"/>
        </w:rPr>
        <w:t>年</w:t>
      </w:r>
      <w:r>
        <w:rPr>
          <w:rFonts w:hint="default" w:ascii="Times New Roman" w:hAnsi="Times New Roman" w:eastAsia="Times New Roman" w:cs="Times New Roman"/>
          <w:spacing w:val="-1"/>
          <w:w w:val="95"/>
          <w:sz w:val="21"/>
          <w:szCs w:val="21"/>
          <w:u w:val="single" w:color="000000"/>
        </w:rPr>
        <w:t xml:space="preserve"> </w:t>
      </w:r>
      <w:r>
        <w:rPr>
          <w:rFonts w:hint="default" w:ascii="Times New Roman" w:hAnsi="Times New Roman" w:eastAsia="Times New Roman" w:cs="Times New Roman"/>
          <w:spacing w:val="-1"/>
          <w:w w:val="95"/>
          <w:sz w:val="21"/>
          <w:szCs w:val="21"/>
          <w:u w:val="single" w:color="000000"/>
        </w:rPr>
        <w:tab/>
      </w:r>
      <w:r>
        <w:rPr>
          <w:rFonts w:hint="default" w:ascii="宋体" w:hAnsi="宋体" w:eastAsia="宋体" w:cs="宋体"/>
          <w:spacing w:val="2"/>
          <w:w w:val="95"/>
          <w:sz w:val="21"/>
          <w:szCs w:val="21"/>
        </w:rPr>
        <w:t>月</w:t>
      </w:r>
      <w:r>
        <w:rPr>
          <w:rFonts w:hint="default" w:ascii="Times New Roman" w:hAnsi="Times New Roman" w:eastAsia="Times New Roman" w:cs="Times New Roman"/>
          <w:spacing w:val="2"/>
          <w:w w:val="95"/>
          <w:sz w:val="21"/>
          <w:szCs w:val="21"/>
          <w:u w:val="single" w:color="000000"/>
        </w:rPr>
        <w:t xml:space="preserve"> </w:t>
      </w:r>
      <w:r>
        <w:rPr>
          <w:rFonts w:hint="default" w:ascii="Times New Roman" w:hAnsi="Times New Roman" w:eastAsia="Times New Roman" w:cs="Times New Roman"/>
          <w:spacing w:val="2"/>
          <w:w w:val="95"/>
          <w:sz w:val="21"/>
          <w:szCs w:val="21"/>
          <w:u w:val="single" w:color="000000"/>
        </w:rPr>
        <w:tab/>
      </w:r>
      <w:r>
        <w:rPr>
          <w:rFonts w:hint="default" w:ascii="宋体" w:hAnsi="宋体" w:eastAsia="宋体" w:cs="宋体"/>
          <w:sz w:val="21"/>
          <w:szCs w:val="21"/>
        </w:rPr>
        <w:t>日签订。</w:t>
      </w:r>
    </w:p>
    <w:p>
      <w:pPr>
        <w:spacing w:after="0"/>
        <w:jc w:val="left"/>
        <w:rPr>
          <w:rFonts w:hint="default" w:ascii="宋体" w:hAnsi="宋体" w:eastAsia="宋体" w:cs="宋体"/>
          <w:sz w:val="21"/>
          <w:szCs w:val="21"/>
        </w:rPr>
        <w:sectPr>
          <w:pgSz w:w="11911" w:h="16838"/>
          <w:pgMar w:top="1134" w:right="1134" w:bottom="1134" w:left="1134" w:header="680" w:footer="850" w:gutter="0"/>
          <w:pgNumType w:fmt="decimal"/>
          <w:cols w:space="720" w:num="1"/>
          <w:titlePg/>
          <w:rtlGutter w:val="0"/>
          <w:docGrid w:linePitch="0" w:charSpace="0"/>
        </w:sectPr>
      </w:pPr>
    </w:p>
    <w:p>
      <w:pPr>
        <w:spacing w:before="8" w:line="240" w:lineRule="auto"/>
        <w:rPr>
          <w:rFonts w:hint="default" w:ascii="宋体" w:hAnsi="宋体" w:eastAsia="宋体" w:cs="宋体"/>
          <w:sz w:val="19"/>
          <w:szCs w:val="19"/>
        </w:rPr>
      </w:pPr>
    </w:p>
    <w:p>
      <w:pPr>
        <w:spacing w:before="32" w:line="357" w:lineRule="auto"/>
        <w:ind w:left="118" w:right="101" w:firstLine="420"/>
        <w:jc w:val="left"/>
        <w:rPr>
          <w:rFonts w:hint="default" w:ascii="宋体" w:hAnsi="宋体" w:eastAsia="宋体" w:cs="宋体"/>
          <w:sz w:val="21"/>
          <w:szCs w:val="21"/>
        </w:rPr>
      </w:pPr>
      <w:bookmarkStart w:id="46" w:name="    十、签订地点"/>
      <w:bookmarkEnd w:id="46"/>
      <w:r>
        <w:rPr>
          <w:rFonts w:hint="default" w:ascii="宋体" w:hAnsi="宋体" w:eastAsia="宋体" w:cs="宋体"/>
          <w:sz w:val="21"/>
          <w:szCs w:val="21"/>
        </w:rPr>
        <w:t>十、签订地点</w:t>
      </w:r>
    </w:p>
    <w:p>
      <w:pPr>
        <w:spacing w:before="32" w:line="357" w:lineRule="auto"/>
        <w:ind w:left="118" w:right="101" w:firstLine="420"/>
        <w:jc w:val="left"/>
        <w:rPr>
          <w:rFonts w:hint="default" w:ascii="宋体" w:hAnsi="宋体" w:eastAsia="宋体" w:cs="宋体"/>
          <w:sz w:val="21"/>
          <w:szCs w:val="21"/>
        </w:rPr>
      </w:pP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本合同在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签订。 </w:t>
      </w:r>
      <w:bookmarkStart w:id="47" w:name="    十一、补充协议"/>
      <w:bookmarkEnd w:id="47"/>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十一、补充协议</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合同未尽事宜，合同当事人另行签订补充协议，补充协议是合同的组成部分。 </w:t>
      </w:r>
      <w:bookmarkStart w:id="48" w:name="    十二、合同生效"/>
      <w:bookmarkEnd w:id="48"/>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十二、合同生效</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本合同自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生效。 </w:t>
      </w:r>
      <w:bookmarkStart w:id="49" w:name="    十三、合同份数"/>
      <w:bookmarkEnd w:id="49"/>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十三、合同份数</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本合同一式 </w:t>
      </w:r>
      <w:r>
        <w:rPr>
          <w:rFonts w:hint="default" w:ascii="宋体" w:hAnsi="宋体" w:eastAsia="宋体" w:cs="宋体"/>
          <w:sz w:val="21"/>
          <w:szCs w:val="21"/>
        </w:rPr>
        <w:tab/>
      </w:r>
      <w:r>
        <w:rPr>
          <w:rFonts w:hint="default" w:ascii="宋体" w:hAnsi="宋体" w:eastAsia="宋体" w:cs="宋体"/>
          <w:sz w:val="21"/>
          <w:szCs w:val="21"/>
        </w:rPr>
        <w:t xml:space="preserve">份，均具有同等法律效力，发包人执 </w:t>
      </w:r>
      <w:r>
        <w:rPr>
          <w:rFonts w:hint="default" w:ascii="宋体" w:hAnsi="宋体" w:eastAsia="宋体" w:cs="宋体"/>
          <w:sz w:val="21"/>
          <w:szCs w:val="21"/>
        </w:rPr>
        <w:tab/>
      </w:r>
      <w:r>
        <w:rPr>
          <w:rFonts w:hint="default" w:ascii="宋体" w:hAnsi="宋体" w:eastAsia="宋体" w:cs="宋体"/>
          <w:sz w:val="21"/>
          <w:szCs w:val="21"/>
        </w:rPr>
        <w:t xml:space="preserve">份，承包人执 </w:t>
      </w:r>
      <w:r>
        <w:rPr>
          <w:rFonts w:hint="default" w:ascii="宋体" w:hAnsi="宋体" w:eastAsia="宋体" w:cs="宋体"/>
          <w:sz w:val="21"/>
          <w:szCs w:val="21"/>
        </w:rPr>
        <w:tab/>
      </w:r>
      <w:r>
        <w:rPr>
          <w:rFonts w:hint="default" w:ascii="宋体" w:hAnsi="宋体" w:eastAsia="宋体" w:cs="宋体"/>
          <w:sz w:val="21"/>
          <w:szCs w:val="21"/>
        </w:rPr>
        <w:t>份。</w:t>
      </w:r>
    </w:p>
    <w:p>
      <w:pPr>
        <w:spacing w:before="32" w:line="357" w:lineRule="auto"/>
        <w:ind w:left="118" w:right="101" w:firstLine="420"/>
        <w:jc w:val="left"/>
        <w:rPr>
          <w:rFonts w:hint="default" w:ascii="宋体" w:hAnsi="宋体" w:eastAsia="宋体" w:cs="宋体"/>
          <w:sz w:val="21"/>
          <w:szCs w:val="21"/>
        </w:rPr>
      </w:pP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发包人：</w:t>
      </w:r>
      <w:r>
        <w:rPr>
          <w:rFonts w:hint="default" w:ascii="宋体" w:hAnsi="宋体" w:eastAsia="宋体" w:cs="宋体"/>
          <w:sz w:val="21"/>
          <w:szCs w:val="21"/>
        </w:rPr>
        <w:tab/>
      </w:r>
      <w:r>
        <w:rPr>
          <w:rFonts w:hint="default" w:ascii="宋体" w:hAnsi="宋体" w:eastAsia="宋体" w:cs="宋体"/>
          <w:sz w:val="21"/>
          <w:szCs w:val="21"/>
        </w:rPr>
        <w:t>(公章)</w:t>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发包人：(公章)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法定代表人或其委托代理人：（签字）</w:t>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法定代表人或其委托代</w:t>
      </w:r>
      <w:r>
        <w:rPr>
          <w:rFonts w:hint="eastAsia" w:ascii="宋体" w:hAnsi="宋体" w:eastAsia="宋体" w:cs="宋体"/>
          <w:sz w:val="21"/>
          <w:szCs w:val="21"/>
          <w:lang w:val="en-US" w:eastAsia="zh-CN"/>
        </w:rPr>
        <w:t>理</w:t>
      </w:r>
      <w:r>
        <w:rPr>
          <w:rFonts w:hint="default" w:ascii="宋体" w:hAnsi="宋体" w:eastAsia="宋体" w:cs="宋体"/>
          <w:sz w:val="21"/>
          <w:szCs w:val="21"/>
        </w:rPr>
        <w:t>人：（签字）</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组织机构代码：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ab/>
      </w:r>
      <w:r>
        <w:rPr>
          <w:rFonts w:hint="default" w:ascii="宋体" w:hAnsi="宋体" w:eastAsia="宋体" w:cs="宋体"/>
          <w:sz w:val="21"/>
          <w:szCs w:val="21"/>
        </w:rPr>
        <w:t xml:space="preserve">组织机构代码：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地</w:t>
      </w:r>
      <w:r>
        <w:rPr>
          <w:rFonts w:hint="default" w:ascii="宋体" w:hAnsi="宋体" w:eastAsia="宋体" w:cs="宋体"/>
          <w:sz w:val="21"/>
          <w:szCs w:val="21"/>
        </w:rPr>
        <w:tab/>
      </w:r>
      <w:r>
        <w:rPr>
          <w:rFonts w:hint="default" w:ascii="宋体" w:hAnsi="宋体" w:eastAsia="宋体" w:cs="宋体"/>
          <w:sz w:val="21"/>
          <w:szCs w:val="21"/>
        </w:rPr>
        <w:t>址：</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 </w:t>
      </w:r>
      <w:r>
        <w:rPr>
          <w:rFonts w:hint="default" w:ascii="宋体" w:hAnsi="宋体" w:eastAsia="宋体" w:cs="宋体"/>
          <w:sz w:val="21"/>
          <w:szCs w:val="21"/>
        </w:rPr>
        <w:tab/>
      </w:r>
      <w:r>
        <w:rPr>
          <w:rFonts w:hint="default" w:ascii="宋体" w:hAnsi="宋体" w:eastAsia="宋体" w:cs="宋体"/>
          <w:sz w:val="21"/>
          <w:szCs w:val="21"/>
        </w:rPr>
        <w:t>地</w:t>
      </w:r>
      <w:r>
        <w:rPr>
          <w:rFonts w:hint="default" w:ascii="宋体" w:hAnsi="宋体" w:eastAsia="宋体" w:cs="宋体"/>
          <w:sz w:val="21"/>
          <w:szCs w:val="21"/>
        </w:rPr>
        <w:tab/>
      </w:r>
      <w:r>
        <w:rPr>
          <w:rFonts w:hint="default" w:ascii="宋体" w:hAnsi="宋体" w:eastAsia="宋体" w:cs="宋体"/>
          <w:sz w:val="21"/>
          <w:szCs w:val="21"/>
        </w:rPr>
        <w:t xml:space="preserve">址：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邮政编码：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ab/>
      </w:r>
      <w:r>
        <w:rPr>
          <w:rFonts w:hint="default" w:ascii="宋体" w:hAnsi="宋体" w:eastAsia="宋体" w:cs="宋体"/>
          <w:sz w:val="21"/>
          <w:szCs w:val="21"/>
        </w:rPr>
        <w:t xml:space="preserve">邮政编码：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法定代表人： </w:t>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法定代表人：</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委托代理人： </w:t>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委托代理人：</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电 话： </w:t>
      </w:r>
      <w:r>
        <w:rPr>
          <w:rFonts w:hint="default" w:ascii="宋体" w:hAnsi="宋体" w:eastAsia="宋体" w:cs="宋体"/>
          <w:sz w:val="21"/>
          <w:szCs w:val="21"/>
        </w:rPr>
        <w:tab/>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电 话：</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传 真： </w:t>
      </w:r>
      <w:r>
        <w:rPr>
          <w:rFonts w:hint="default" w:ascii="宋体" w:hAnsi="宋体" w:eastAsia="宋体" w:cs="宋体"/>
          <w:sz w:val="21"/>
          <w:szCs w:val="21"/>
        </w:rPr>
        <w:tab/>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传 真：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电子信箱： </w:t>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电子信箱：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开户银行： </w:t>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 xml:space="preserve">开户银行： </w:t>
      </w:r>
    </w:p>
    <w:p>
      <w:pPr>
        <w:spacing w:before="32" w:line="357" w:lineRule="auto"/>
        <w:ind w:left="118" w:right="101" w:firstLine="420"/>
        <w:jc w:val="left"/>
        <w:rPr>
          <w:rFonts w:hint="default" w:ascii="宋体" w:hAnsi="宋体" w:eastAsia="宋体" w:cs="宋体"/>
          <w:sz w:val="21"/>
          <w:szCs w:val="21"/>
        </w:rPr>
      </w:pPr>
      <w:r>
        <w:rPr>
          <w:rFonts w:hint="default" w:ascii="宋体" w:hAnsi="宋体" w:eastAsia="宋体" w:cs="宋体"/>
          <w:sz w:val="21"/>
          <w:szCs w:val="21"/>
        </w:rPr>
        <w:t xml:space="preserve">账 号： </w:t>
      </w:r>
      <w:r>
        <w:rPr>
          <w:rFonts w:hint="default" w:ascii="宋体" w:hAnsi="宋体" w:eastAsia="宋体" w:cs="宋体"/>
          <w:sz w:val="21"/>
          <w:szCs w:val="21"/>
        </w:rPr>
        <w:tab/>
      </w:r>
      <w:r>
        <w:rPr>
          <w:rFonts w:hint="eastAsia" w:ascii="宋体" w:hAnsi="宋体" w:eastAsia="宋体" w:cs="宋体"/>
          <w:sz w:val="21"/>
          <w:szCs w:val="21"/>
          <w:lang w:val="en-US" w:eastAsia="zh-CN"/>
        </w:rPr>
        <w:t xml:space="preserve">                      </w:t>
      </w:r>
      <w:r>
        <w:rPr>
          <w:rFonts w:hint="default" w:ascii="宋体" w:hAnsi="宋体" w:eastAsia="宋体" w:cs="宋体"/>
          <w:sz w:val="21"/>
          <w:szCs w:val="21"/>
        </w:rPr>
        <w:tab/>
      </w:r>
      <w:r>
        <w:rPr>
          <w:rFonts w:hint="default" w:ascii="宋体" w:hAnsi="宋体" w:eastAsia="宋体" w:cs="宋体"/>
          <w:sz w:val="21"/>
          <w:szCs w:val="21"/>
        </w:rPr>
        <w:t>账 号：</w:t>
      </w:r>
    </w:p>
    <w:p>
      <w:pPr>
        <w:spacing w:before="5" w:line="240" w:lineRule="auto"/>
        <w:rPr>
          <w:rFonts w:hint="default" w:ascii="宋体" w:hAnsi="宋体" w:eastAsia="宋体" w:cs="宋体"/>
          <w:sz w:val="21"/>
          <w:szCs w:val="21"/>
        </w:rPr>
      </w:pPr>
    </w:p>
    <w:p>
      <w:pPr>
        <w:spacing w:before="0" w:line="240" w:lineRule="auto"/>
        <w:rPr>
          <w:rFonts w:hint="default" w:ascii="宋体" w:hAnsi="宋体" w:eastAsia="宋体" w:cs="宋体"/>
          <w:sz w:val="22"/>
          <w:szCs w:val="22"/>
        </w:rPr>
      </w:pPr>
    </w:p>
    <w:p>
      <w:pPr>
        <w:pStyle w:val="47"/>
        <w:rPr>
          <w:rFonts w:hint="default"/>
        </w:rPr>
      </w:pPr>
    </w:p>
    <w:p>
      <w:pPr>
        <w:rPr>
          <w:rFonts w:hint="default" w:ascii="宋体" w:hAnsi="宋体" w:eastAsia="宋体" w:cs="宋体"/>
          <w:b/>
          <w:bCs/>
          <w:sz w:val="32"/>
          <w:szCs w:val="32"/>
        </w:rPr>
      </w:pPr>
      <w:r>
        <w:rPr>
          <w:rFonts w:hint="default" w:ascii="宋体" w:hAnsi="宋体" w:eastAsia="宋体" w:cs="宋体"/>
          <w:b/>
          <w:bCs/>
          <w:sz w:val="32"/>
          <w:szCs w:val="32"/>
        </w:rPr>
        <w:br w:type="page"/>
      </w:r>
    </w:p>
    <w:p>
      <w:pPr>
        <w:pStyle w:val="2"/>
        <w:rPr>
          <w:rFonts w:hint="default"/>
        </w:rPr>
      </w:pPr>
    </w:p>
    <w:p>
      <w:pPr>
        <w:spacing w:before="0"/>
        <w:ind w:left="3048" w:right="223" w:firstLine="0"/>
        <w:jc w:val="left"/>
        <w:rPr>
          <w:rFonts w:hint="default" w:ascii="宋体" w:hAnsi="宋体" w:eastAsia="宋体" w:cs="宋体"/>
          <w:sz w:val="32"/>
          <w:szCs w:val="32"/>
        </w:rPr>
      </w:pPr>
      <w:r>
        <w:rPr>
          <w:rFonts w:hint="default" w:ascii="宋体" w:hAnsi="宋体" w:eastAsia="宋体" w:cs="宋体"/>
          <w:b/>
          <w:bCs/>
          <w:sz w:val="32"/>
          <w:szCs w:val="32"/>
        </w:rPr>
        <w:t>第二节、通用合同条款</w:t>
      </w:r>
    </w:p>
    <w:p>
      <w:pPr>
        <w:spacing w:before="3" w:line="240" w:lineRule="auto"/>
        <w:rPr>
          <w:rFonts w:hint="default" w:ascii="宋体" w:hAnsi="宋体" w:eastAsia="宋体" w:cs="宋体"/>
          <w:b/>
          <w:bCs/>
          <w:sz w:val="40"/>
          <w:szCs w:val="40"/>
        </w:rPr>
      </w:pPr>
    </w:p>
    <w:p>
      <w:pPr>
        <w:pStyle w:val="2"/>
        <w:spacing w:before="0" w:line="600" w:lineRule="atLeast"/>
        <w:ind w:right="100" w:firstLine="720"/>
        <w:jc w:val="left"/>
      </w:pPr>
      <w:r>
        <w:t>本工程施工合同中的“通用条款”，采用中华人民共和国住房城乡建设部、国家工商行政管理总局</w:t>
      </w:r>
      <w:r>
        <w:rPr>
          <w:spacing w:val="-53"/>
        </w:rPr>
        <w:t xml:space="preserve"> </w:t>
      </w:r>
      <w:r>
        <w:t>2017</w:t>
      </w:r>
      <w:r>
        <w:rPr>
          <w:spacing w:val="-53"/>
        </w:rPr>
        <w:t xml:space="preserve"> </w:t>
      </w:r>
      <w:r>
        <w:rPr>
          <w:spacing w:val="-9"/>
        </w:rPr>
        <w:t>年颁发的《建设工程施工合同（示范文本）》（GF—2017—0201）</w:t>
      </w:r>
      <w:bookmarkStart w:id="50" w:name="_bookmark4"/>
      <w:bookmarkEnd w:id="50"/>
      <w:bookmarkStart w:id="51" w:name="第五章 履约验收"/>
      <w:bookmarkEnd w:id="51"/>
      <w:r>
        <w:t>中的“通用条款”。</w:t>
      </w:r>
    </w:p>
    <w:p>
      <w:pPr>
        <w:spacing w:before="5" w:line="240" w:lineRule="auto"/>
        <w:rPr>
          <w:rFonts w:hint="default" w:ascii="宋体" w:hAnsi="宋体" w:eastAsia="宋体" w:cs="宋体"/>
          <w:sz w:val="22"/>
          <w:szCs w:val="22"/>
        </w:rPr>
      </w:pPr>
    </w:p>
    <w:p>
      <w:pPr>
        <w:spacing w:before="0"/>
        <w:ind w:left="2" w:right="0" w:firstLine="0"/>
        <w:jc w:val="center"/>
        <w:rPr>
          <w:rFonts w:hint="default" w:ascii="宋体" w:hAnsi="宋体" w:eastAsia="宋体" w:cs="宋体"/>
          <w:sz w:val="32"/>
          <w:szCs w:val="32"/>
        </w:rPr>
      </w:pPr>
      <w:bookmarkStart w:id="52" w:name="第三节、专用合同条款"/>
      <w:bookmarkEnd w:id="52"/>
      <w:r>
        <w:rPr>
          <w:rFonts w:hint="default" w:ascii="宋体" w:hAnsi="宋体" w:eastAsia="宋体" w:cs="宋体"/>
          <w:b/>
          <w:bCs/>
          <w:sz w:val="32"/>
          <w:szCs w:val="32"/>
        </w:rPr>
        <w:t>第三节、专用合同条款</w:t>
      </w:r>
    </w:p>
    <w:p>
      <w:pPr>
        <w:spacing w:before="2" w:line="240" w:lineRule="auto"/>
        <w:rPr>
          <w:rFonts w:hint="default" w:ascii="宋体" w:hAnsi="宋体" w:eastAsia="宋体" w:cs="宋体"/>
          <w:b/>
          <w:bCs/>
          <w:sz w:val="44"/>
          <w:szCs w:val="44"/>
        </w:rPr>
      </w:pPr>
    </w:p>
    <w:p>
      <w:pPr>
        <w:pStyle w:val="2"/>
        <w:spacing w:before="0" w:line="237" w:lineRule="auto"/>
        <w:ind w:left="1" w:right="0"/>
        <w:jc w:val="center"/>
      </w:pPr>
      <w:r>
        <w:rPr>
          <w:spacing w:val="-2"/>
        </w:rPr>
        <w:t>本施工合同中的“专用条款”，采用中华人民共和国住房城乡建设部、国家工商行政管</w:t>
      </w:r>
      <w:r>
        <w:rPr>
          <w:spacing w:val="-98"/>
        </w:rPr>
        <w:t xml:space="preserve"> </w:t>
      </w:r>
      <w:r>
        <w:t>理总局</w:t>
      </w:r>
      <w:r>
        <w:rPr>
          <w:spacing w:val="-60"/>
        </w:rPr>
        <w:t xml:space="preserve"> </w:t>
      </w:r>
      <w:r>
        <w:t>2017</w:t>
      </w:r>
      <w:r>
        <w:rPr>
          <w:spacing w:val="-60"/>
        </w:rPr>
        <w:t xml:space="preserve"> </w:t>
      </w:r>
      <w:r>
        <w:t>年颁发的《建设工程施工合同（示范文本）》（GF-2017-0201）中的“专用条款”。</w:t>
      </w:r>
    </w:p>
    <w:p>
      <w:pPr>
        <w:spacing w:after="0" w:line="237" w:lineRule="auto"/>
        <w:jc w:val="center"/>
        <w:sectPr>
          <w:pgSz w:w="11911" w:h="16838"/>
          <w:pgMar w:top="1134" w:right="1134" w:bottom="1134" w:left="1134" w:header="680" w:footer="850" w:gutter="0"/>
          <w:pgNumType w:fmt="decimal"/>
          <w:cols w:space="720" w:num="1"/>
          <w:titlePg/>
          <w:rtlGutter w:val="0"/>
          <w:docGrid w:linePitch="0" w:charSpace="0"/>
        </w:sectPr>
      </w:pPr>
    </w:p>
    <w:p>
      <w:pPr>
        <w:pStyle w:val="3"/>
        <w:spacing w:line="240" w:lineRule="auto"/>
        <w:ind w:left="2707" w:right="2824"/>
        <w:jc w:val="center"/>
        <w:rPr>
          <w:b w:val="0"/>
          <w:bCs w:val="0"/>
        </w:rPr>
      </w:pPr>
      <w:r>
        <w:rPr>
          <w:sz w:val="32"/>
          <w:szCs w:val="32"/>
        </w:rPr>
        <w:t>履约验收</w:t>
      </w:r>
    </w:p>
    <w:p>
      <w:pPr>
        <w:spacing w:before="10" w:line="240" w:lineRule="auto"/>
        <w:rPr>
          <w:rFonts w:hint="default" w:ascii="宋体" w:hAnsi="宋体" w:eastAsia="宋体" w:cs="宋体"/>
          <w:b/>
          <w:bCs/>
          <w:sz w:val="36"/>
          <w:szCs w:val="36"/>
        </w:rPr>
      </w:pPr>
    </w:p>
    <w:p>
      <w:pPr>
        <w:pStyle w:val="2"/>
        <w:spacing w:before="0" w:line="367" w:lineRule="auto"/>
        <w:ind w:right="237" w:firstLine="488" w:firstLineChars="200"/>
        <w:jc w:val="both"/>
        <w:rPr>
          <w:sz w:val="24"/>
          <w:szCs w:val="24"/>
        </w:rPr>
      </w:pPr>
      <w:r>
        <w:rPr>
          <w:spacing w:val="2"/>
          <w:sz w:val="24"/>
          <w:szCs w:val="24"/>
        </w:rPr>
        <w:t>一、根据《中华人民共和国政府采购法》第四十一条规定，采购人或者其委托的</w:t>
      </w:r>
      <w:r>
        <w:rPr>
          <w:spacing w:val="-2"/>
          <w:sz w:val="24"/>
          <w:szCs w:val="24"/>
        </w:rPr>
        <w:t>采购代理机构应当组织对供应商履约的验收。大型或者复杂的政府采购项目，应当邀请</w:t>
      </w:r>
      <w:r>
        <w:rPr>
          <w:spacing w:val="-95"/>
          <w:sz w:val="24"/>
          <w:szCs w:val="24"/>
        </w:rPr>
        <w:t xml:space="preserve"> </w:t>
      </w:r>
      <w:r>
        <w:rPr>
          <w:spacing w:val="-2"/>
          <w:sz w:val="24"/>
          <w:szCs w:val="24"/>
        </w:rPr>
        <w:t>国家认可的质量检测机构参加验收工作。验收方成员应当在验收书上签字，并承担相应</w:t>
      </w:r>
      <w:r>
        <w:rPr>
          <w:spacing w:val="-95"/>
          <w:sz w:val="24"/>
          <w:szCs w:val="24"/>
        </w:rPr>
        <w:t xml:space="preserve"> </w:t>
      </w:r>
      <w:r>
        <w:rPr>
          <w:sz w:val="24"/>
          <w:szCs w:val="24"/>
        </w:rPr>
        <w:t>的法律责任。</w:t>
      </w:r>
    </w:p>
    <w:p>
      <w:pPr>
        <w:pStyle w:val="2"/>
        <w:spacing w:before="38" w:line="367" w:lineRule="auto"/>
        <w:ind w:right="117" w:firstLine="488" w:firstLineChars="200"/>
        <w:jc w:val="both"/>
        <w:rPr>
          <w:sz w:val="24"/>
          <w:szCs w:val="24"/>
        </w:rPr>
      </w:pPr>
      <w:r>
        <w:rPr>
          <w:spacing w:val="2"/>
          <w:sz w:val="24"/>
          <w:szCs w:val="24"/>
        </w:rPr>
        <w:t>二、根据《中华人民共和国政府采购法实施条例》第四十五条规定，采购人或者</w:t>
      </w:r>
      <w:r>
        <w:rPr>
          <w:sz w:val="24"/>
          <w:szCs w:val="24"/>
        </w:rPr>
        <w:t>采购代理机构应当按照政府采购合同规定的技术、服务、安全标准组织对供应商履约情</w:t>
      </w:r>
      <w:r>
        <w:rPr>
          <w:spacing w:val="-5"/>
          <w:sz w:val="24"/>
          <w:szCs w:val="24"/>
        </w:rPr>
        <w:t>况进行验收，并出具验收书。验收书应当包括每一项技术、服务、安全标准的履约情况。</w:t>
      </w:r>
      <w:r>
        <w:rPr>
          <w:sz w:val="24"/>
          <w:szCs w:val="24"/>
        </w:rPr>
        <w:t>政府向社会公众提供的公共服务项目，验收时应当邀请服务对象参与并出具意见，验收结果应当向社会公告。</w:t>
      </w:r>
    </w:p>
    <w:p>
      <w:pPr>
        <w:pStyle w:val="2"/>
        <w:numPr>
          <w:ilvl w:val="0"/>
          <w:numId w:val="0"/>
        </w:numPr>
        <w:spacing w:before="38" w:line="367" w:lineRule="auto"/>
        <w:ind w:right="185" w:rightChars="0" w:firstLine="488" w:firstLineChars="200"/>
        <w:jc w:val="both"/>
        <w:rPr>
          <w:spacing w:val="-1"/>
          <w:sz w:val="24"/>
          <w:szCs w:val="24"/>
        </w:rPr>
      </w:pPr>
      <w:r>
        <w:rPr>
          <w:rFonts w:hint="eastAsia"/>
          <w:spacing w:val="2"/>
          <w:sz w:val="24"/>
          <w:szCs w:val="24"/>
          <w:lang w:val="en-US" w:eastAsia="zh-CN"/>
        </w:rPr>
        <w:t>三、</w:t>
      </w:r>
      <w:r>
        <w:rPr>
          <w:spacing w:val="2"/>
          <w:sz w:val="24"/>
          <w:szCs w:val="24"/>
        </w:rPr>
        <w:t>根据《政府采购货物和服务招标投标管理办法》第七十四条规定，采购人应</w:t>
      </w:r>
      <w:r>
        <w:rPr>
          <w:spacing w:val="-2"/>
          <w:sz w:val="24"/>
          <w:szCs w:val="24"/>
        </w:rPr>
        <w:t>当及时对采购项目进行验收。采购人可以邀请参加本项目的其他投标人或者第三方机构</w:t>
      </w:r>
      <w:r>
        <w:rPr>
          <w:spacing w:val="-1"/>
          <w:sz w:val="24"/>
          <w:szCs w:val="24"/>
        </w:rPr>
        <w:t>参与验收。参与验收的投标人或者第三方机构的意见作为验收书的参考资料一并存档。</w:t>
      </w:r>
    </w:p>
    <w:p>
      <w:pPr>
        <w:pStyle w:val="2"/>
        <w:numPr>
          <w:ilvl w:val="0"/>
          <w:numId w:val="0"/>
        </w:numPr>
        <w:spacing w:before="38" w:line="367" w:lineRule="auto"/>
        <w:ind w:right="185" w:rightChars="0" w:firstLine="488" w:firstLineChars="200"/>
        <w:jc w:val="both"/>
        <w:rPr>
          <w:sz w:val="24"/>
          <w:szCs w:val="24"/>
        </w:rPr>
      </w:pPr>
      <w:r>
        <w:rPr>
          <w:spacing w:val="2"/>
          <w:sz w:val="24"/>
          <w:szCs w:val="24"/>
        </w:rPr>
        <w:t>四、根据《山东省政府采购履约验收管理暂行办法》第六条规定，采购人是政府</w:t>
      </w:r>
      <w:r>
        <w:rPr>
          <w:spacing w:val="-2"/>
          <w:sz w:val="24"/>
          <w:szCs w:val="24"/>
        </w:rPr>
        <w:t>采购项目履约验收工作（以下简称“项目验收”）的责任主体。采购人应当加强内控管</w:t>
      </w:r>
      <w:r>
        <w:rPr>
          <w:spacing w:val="-1"/>
          <w:sz w:val="24"/>
          <w:szCs w:val="24"/>
        </w:rPr>
        <w:t>理，明确验收机制，履行验收义务，确定验收结论，及时处理项目验收中发现的问题，</w:t>
      </w:r>
      <w:r>
        <w:rPr>
          <w:sz w:val="24"/>
          <w:szCs w:val="24"/>
        </w:rPr>
        <w:t>向财政部门反映供应商违约失信行为。</w:t>
      </w:r>
    </w:p>
    <w:p>
      <w:pPr>
        <w:pStyle w:val="2"/>
        <w:spacing w:before="38" w:line="367" w:lineRule="auto"/>
        <w:ind w:left="0" w:leftChars="0" w:right="223" w:firstLine="488" w:firstLineChars="200"/>
        <w:jc w:val="left"/>
        <w:rPr>
          <w:sz w:val="24"/>
          <w:szCs w:val="24"/>
        </w:rPr>
      </w:pPr>
      <w:r>
        <w:rPr>
          <w:spacing w:val="2"/>
          <w:sz w:val="24"/>
          <w:szCs w:val="24"/>
        </w:rPr>
        <w:t>五、根据《山东省政府采购履约验收管理暂行办法》第二十九条规定，供应商存</w:t>
      </w:r>
      <w:r>
        <w:rPr>
          <w:sz w:val="24"/>
          <w:szCs w:val="24"/>
        </w:rPr>
        <w:t>在下列行为的，纳入诚信记录：</w:t>
      </w:r>
    </w:p>
    <w:p>
      <w:pPr>
        <w:pStyle w:val="2"/>
        <w:spacing w:before="166" w:line="240" w:lineRule="auto"/>
        <w:ind w:left="927" w:right="223"/>
        <w:jc w:val="left"/>
        <w:rPr>
          <w:sz w:val="24"/>
          <w:szCs w:val="24"/>
        </w:rPr>
      </w:pPr>
      <w:r>
        <w:rPr>
          <w:sz w:val="24"/>
          <w:szCs w:val="24"/>
        </w:rPr>
        <w:t>（一）无正当理由放弃采购合同履约的；</w:t>
      </w:r>
    </w:p>
    <w:p>
      <w:pPr>
        <w:pStyle w:val="2"/>
        <w:spacing w:before="166" w:line="240" w:lineRule="auto"/>
        <w:ind w:left="927" w:right="223"/>
        <w:jc w:val="left"/>
        <w:rPr>
          <w:sz w:val="24"/>
          <w:szCs w:val="24"/>
        </w:rPr>
      </w:pPr>
      <w:r>
        <w:rPr>
          <w:sz w:val="24"/>
          <w:szCs w:val="24"/>
        </w:rPr>
        <w:t>（二）不履行合同义务，情节严重的；</w:t>
      </w:r>
    </w:p>
    <w:p>
      <w:pPr>
        <w:pStyle w:val="2"/>
        <w:spacing w:before="166" w:line="367" w:lineRule="auto"/>
        <w:ind w:right="223" w:firstLine="808"/>
        <w:jc w:val="left"/>
        <w:rPr>
          <w:sz w:val="24"/>
          <w:szCs w:val="24"/>
        </w:rPr>
      </w:pPr>
      <w:r>
        <w:rPr>
          <w:spacing w:val="2"/>
          <w:sz w:val="24"/>
          <w:szCs w:val="24"/>
        </w:rPr>
        <w:t>（三）在数量、质量、技术、服务、安全、标准、功能、工艺等方面不符合采</w:t>
      </w:r>
      <w:r>
        <w:rPr>
          <w:sz w:val="24"/>
          <w:szCs w:val="24"/>
        </w:rPr>
        <w:t>购合同约定，给采购人造成较大损失或者影响的；</w:t>
      </w:r>
    </w:p>
    <w:p>
      <w:pPr>
        <w:pStyle w:val="2"/>
        <w:spacing w:before="38" w:line="240" w:lineRule="auto"/>
        <w:ind w:left="927" w:right="223"/>
        <w:jc w:val="left"/>
        <w:rPr>
          <w:sz w:val="24"/>
          <w:szCs w:val="24"/>
        </w:rPr>
      </w:pPr>
      <w:r>
        <w:rPr>
          <w:sz w:val="24"/>
          <w:szCs w:val="24"/>
        </w:rPr>
        <w:t>（四）因履约问题影响采购项目功能实现又拒不纠正的；</w:t>
      </w:r>
    </w:p>
    <w:p>
      <w:pPr>
        <w:pStyle w:val="2"/>
        <w:spacing w:before="166" w:line="240" w:lineRule="auto"/>
        <w:ind w:left="927" w:right="223"/>
        <w:jc w:val="left"/>
        <w:rPr>
          <w:sz w:val="24"/>
          <w:szCs w:val="24"/>
        </w:rPr>
      </w:pPr>
      <w:r>
        <w:rPr>
          <w:sz w:val="24"/>
          <w:szCs w:val="24"/>
        </w:rPr>
        <w:t>（五）与采购人工作人员或者验收小组成员串通，实施虚假履约验收的；</w:t>
      </w:r>
    </w:p>
    <w:p>
      <w:pPr>
        <w:pStyle w:val="2"/>
        <w:spacing w:before="166" w:line="367" w:lineRule="auto"/>
        <w:ind w:left="687" w:right="223" w:firstLine="240"/>
        <w:jc w:val="left"/>
        <w:rPr>
          <w:sz w:val="24"/>
          <w:szCs w:val="24"/>
        </w:rPr>
      </w:pPr>
      <w:r>
        <w:rPr>
          <w:sz w:val="24"/>
          <w:szCs w:val="24"/>
        </w:rPr>
        <w:t xml:space="preserve">（六）其他损害公共利益、采购人利益、第三方权益且情节较重的。 </w:t>
      </w:r>
    </w:p>
    <w:p>
      <w:pPr>
        <w:pStyle w:val="2"/>
        <w:spacing w:before="166" w:line="367" w:lineRule="auto"/>
        <w:ind w:right="223" w:firstLine="488" w:firstLineChars="200"/>
        <w:jc w:val="left"/>
        <w:rPr>
          <w:rFonts w:hint="default" w:ascii="宋体" w:hAnsi="宋体" w:eastAsia="宋体" w:cs="宋体"/>
          <w:sz w:val="24"/>
          <w:szCs w:val="24"/>
        </w:rPr>
      </w:pPr>
      <w:r>
        <w:rPr>
          <w:spacing w:val="2"/>
          <w:sz w:val="24"/>
          <w:szCs w:val="24"/>
        </w:rPr>
        <w:t>六、根据《山东省政府采购履约验收管理暂行办法》第三十条规定，采购人存在</w:t>
      </w:r>
      <w:r>
        <w:rPr>
          <w:sz w:val="24"/>
          <w:szCs w:val="24"/>
        </w:rPr>
        <w:t>下列行为的，纳入诚信记录：</w:t>
      </w:r>
    </w:p>
    <w:p>
      <w:pPr>
        <w:pStyle w:val="2"/>
        <w:spacing w:before="169" w:line="240" w:lineRule="auto"/>
        <w:ind w:left="838" w:right="4003"/>
        <w:jc w:val="left"/>
        <w:rPr>
          <w:sz w:val="24"/>
          <w:szCs w:val="24"/>
        </w:rPr>
      </w:pPr>
      <w:bookmarkStart w:id="53" w:name="_bookmark5"/>
      <w:bookmarkEnd w:id="53"/>
      <w:bookmarkStart w:id="54" w:name="第六章  附件"/>
      <w:bookmarkEnd w:id="54"/>
      <w:r>
        <w:rPr>
          <w:sz w:val="24"/>
          <w:szCs w:val="24"/>
        </w:rPr>
        <w:t>（一）不履行验收义务且拒不纠正的；</w:t>
      </w:r>
    </w:p>
    <w:p>
      <w:pPr>
        <w:pStyle w:val="2"/>
        <w:spacing w:before="166" w:line="240" w:lineRule="auto"/>
        <w:ind w:left="838" w:right="4003"/>
        <w:jc w:val="left"/>
        <w:rPr>
          <w:sz w:val="24"/>
          <w:szCs w:val="24"/>
        </w:rPr>
      </w:pPr>
      <w:r>
        <w:rPr>
          <w:sz w:val="24"/>
          <w:szCs w:val="24"/>
        </w:rPr>
        <w:t>（二）未按规定要求组织项目验收的；</w:t>
      </w:r>
    </w:p>
    <w:p>
      <w:pPr>
        <w:pStyle w:val="2"/>
        <w:spacing w:before="166" w:line="240" w:lineRule="auto"/>
        <w:ind w:left="838" w:right="101"/>
        <w:jc w:val="left"/>
        <w:rPr>
          <w:sz w:val="24"/>
          <w:szCs w:val="24"/>
        </w:rPr>
      </w:pPr>
      <w:r>
        <w:rPr>
          <w:sz w:val="24"/>
          <w:szCs w:val="24"/>
        </w:rPr>
        <w:t>（三）与供应商串通，实施虚假履约验收的；</w:t>
      </w:r>
    </w:p>
    <w:p>
      <w:pPr>
        <w:pStyle w:val="2"/>
        <w:spacing w:before="166" w:line="240" w:lineRule="auto"/>
        <w:ind w:left="838" w:right="101"/>
        <w:jc w:val="left"/>
        <w:rPr>
          <w:sz w:val="24"/>
          <w:szCs w:val="24"/>
        </w:rPr>
      </w:pPr>
      <w:r>
        <w:rPr>
          <w:sz w:val="24"/>
          <w:szCs w:val="24"/>
        </w:rPr>
        <w:t>（四）履约验收机制不完善、责任不落实且造成较大经济损失或者影响的；</w:t>
      </w:r>
    </w:p>
    <w:p>
      <w:pPr>
        <w:pStyle w:val="2"/>
        <w:spacing w:before="166" w:line="240" w:lineRule="auto"/>
        <w:ind w:left="838" w:right="101"/>
        <w:jc w:val="left"/>
        <w:rPr>
          <w:sz w:val="24"/>
          <w:szCs w:val="24"/>
        </w:rPr>
      </w:pPr>
      <w:r>
        <w:rPr>
          <w:sz w:val="24"/>
          <w:szCs w:val="24"/>
        </w:rPr>
        <w:t>（五）发现问题不及时处理，造成较大经济损失或者严重影响政府公信力的；</w:t>
      </w:r>
    </w:p>
    <w:p>
      <w:pPr>
        <w:pStyle w:val="2"/>
        <w:spacing w:before="166" w:line="367" w:lineRule="auto"/>
        <w:ind w:left="687" w:right="101" w:firstLine="151"/>
        <w:jc w:val="left"/>
        <w:rPr>
          <w:sz w:val="24"/>
          <w:szCs w:val="24"/>
        </w:rPr>
      </w:pPr>
      <w:r>
        <w:rPr>
          <w:sz w:val="24"/>
          <w:szCs w:val="24"/>
        </w:rPr>
        <w:t>（六）其他违反法律、法规、纪律行为。</w:t>
      </w:r>
    </w:p>
    <w:p>
      <w:pPr>
        <w:spacing w:line="360" w:lineRule="auto"/>
        <w:ind w:firstLine="480" w:firstLineChars="200"/>
        <w:rPr>
          <w:rFonts w:hint="default"/>
          <w:sz w:val="24"/>
          <w:szCs w:val="32"/>
        </w:rPr>
      </w:pPr>
      <w:r>
        <w:rPr>
          <w:rFonts w:hint="default"/>
          <w:sz w:val="24"/>
          <w:szCs w:val="32"/>
        </w:rPr>
        <w:t>七、根据《山东省政府采购履约验收管理暂行办法》第三十三条规定，采购人、采购代理机构、验收小组、供应商在项目验收过程中，存在违法违规行为的，依据《中华人民共和国政府采购法》及实施条例等有关法律法规的规定进行处理。给他人造成损 失的，应当赔偿相应损失；构成犯罪的，依法移送司法机关处理。影响公共利益或者采 购人权益，但法律法规及部门规章没有规定的，由财政部门予以约谈，责令改正，并根 据信用管理规定予以记录、公告。</w:t>
      </w:r>
    </w:p>
    <w:p>
      <w:pPr>
        <w:pStyle w:val="2"/>
        <w:rPr>
          <w:rFonts w:hint="default"/>
          <w:sz w:val="24"/>
          <w:szCs w:val="32"/>
        </w:rPr>
      </w:pPr>
    </w:p>
    <w:p>
      <w:pPr>
        <w:rPr>
          <w:rFonts w:hint="default"/>
          <w:sz w:val="24"/>
          <w:szCs w:val="32"/>
        </w:rPr>
      </w:pPr>
    </w:p>
    <w:p>
      <w:pPr>
        <w:rPr>
          <w:rFonts w:hint="eastAsia" w:ascii="宋体" w:hAnsi="宋体" w:cs="宋体"/>
          <w:b/>
          <w:bCs/>
          <w:sz w:val="32"/>
          <w:szCs w:val="32"/>
        </w:rPr>
      </w:pPr>
      <w:r>
        <w:rPr>
          <w:rFonts w:hint="eastAsia" w:ascii="宋体" w:hAnsi="宋体" w:cs="宋体"/>
          <w:b/>
          <w:bCs/>
          <w:sz w:val="32"/>
          <w:szCs w:val="32"/>
        </w:rPr>
        <w:br w:type="page"/>
      </w:r>
    </w:p>
    <w:p>
      <w:pPr>
        <w:ind w:firstLine="321" w:firstLineChars="100"/>
        <w:rPr>
          <w:rFonts w:ascii="宋体" w:hAnsi="宋体" w:cs="宋体"/>
          <w:b/>
          <w:bCs/>
          <w:sz w:val="32"/>
          <w:szCs w:val="32"/>
        </w:rPr>
      </w:pPr>
      <w:r>
        <w:rPr>
          <w:rFonts w:hint="eastAsia" w:ascii="宋体" w:hAnsi="宋体" w:cs="宋体"/>
          <w:b/>
          <w:bCs/>
          <w:sz w:val="32"/>
          <w:szCs w:val="32"/>
        </w:rPr>
        <w:t>附件1</w:t>
      </w:r>
    </w:p>
    <w:p>
      <w:pPr>
        <w:jc w:val="center"/>
        <w:rPr>
          <w:rFonts w:ascii="宋体" w:hAnsi="宋体" w:cs="宋体"/>
          <w:b/>
          <w:bCs/>
          <w:sz w:val="32"/>
          <w:szCs w:val="32"/>
        </w:rPr>
      </w:pPr>
      <w:r>
        <w:rPr>
          <w:rFonts w:hint="eastAsia" w:ascii="宋体" w:hAnsi="宋体" w:cs="宋体"/>
          <w:b/>
          <w:bCs/>
          <w:sz w:val="32"/>
          <w:szCs w:val="32"/>
        </w:rPr>
        <w:t>政府采购验收通知单</w:t>
      </w:r>
    </w:p>
    <w:p>
      <w:pPr>
        <w:ind w:firstLine="560" w:firstLineChars="200"/>
        <w:rPr>
          <w:rFonts w:ascii="宋体" w:hAnsi="宋体" w:cs="宋体"/>
          <w:sz w:val="28"/>
          <w:szCs w:val="28"/>
        </w:rPr>
      </w:pPr>
      <w:r>
        <w:rPr>
          <w:rFonts w:hint="eastAsia" w:ascii="宋体" w:hAnsi="宋体" w:cs="宋体"/>
          <w:sz w:val="28"/>
          <w:szCs w:val="28"/>
        </w:rPr>
        <w:t xml:space="preserve">供应商：   </w:t>
      </w:r>
    </w:p>
    <w:tbl>
      <w:tblPr>
        <w:tblStyle w:val="32"/>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1980"/>
        <w:gridCol w:w="2160"/>
        <w:gridCol w:w="2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noWrap/>
            <w:vAlign w:val="top"/>
          </w:tcPr>
          <w:p>
            <w:pPr>
              <w:spacing w:line="600" w:lineRule="exact"/>
              <w:jc w:val="center"/>
              <w:rPr>
                <w:rFonts w:ascii="宋体" w:hAnsi="宋体" w:cs="宋体"/>
                <w:sz w:val="28"/>
                <w:szCs w:val="28"/>
              </w:rPr>
            </w:pPr>
            <w:r>
              <w:rPr>
                <w:rFonts w:hint="eastAsia" w:ascii="宋体" w:hAnsi="宋体" w:cs="宋体"/>
                <w:sz w:val="28"/>
                <w:szCs w:val="28"/>
              </w:rPr>
              <w:t>采购单位</w:t>
            </w:r>
          </w:p>
        </w:tc>
        <w:tc>
          <w:tcPr>
            <w:tcW w:w="7038" w:type="dxa"/>
            <w:gridSpan w:val="3"/>
            <w:noWrap/>
            <w:vAlign w:val="top"/>
          </w:tcPr>
          <w:p>
            <w:pPr>
              <w:spacing w:line="6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noWrap/>
            <w:vAlign w:val="top"/>
          </w:tcPr>
          <w:p>
            <w:pPr>
              <w:spacing w:line="600" w:lineRule="exact"/>
              <w:jc w:val="center"/>
              <w:rPr>
                <w:rFonts w:ascii="宋体" w:hAnsi="宋体" w:cs="宋体"/>
                <w:sz w:val="28"/>
                <w:szCs w:val="28"/>
              </w:rPr>
            </w:pPr>
            <w:r>
              <w:rPr>
                <w:rFonts w:hint="eastAsia" w:ascii="宋体" w:hAnsi="宋体" w:cs="宋体"/>
                <w:sz w:val="28"/>
                <w:szCs w:val="28"/>
              </w:rPr>
              <w:t>项目名称</w:t>
            </w:r>
          </w:p>
        </w:tc>
        <w:tc>
          <w:tcPr>
            <w:tcW w:w="7038" w:type="dxa"/>
            <w:gridSpan w:val="3"/>
            <w:noWrap/>
            <w:vAlign w:val="top"/>
          </w:tcPr>
          <w:p>
            <w:pPr>
              <w:spacing w:line="6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noWrap/>
            <w:vAlign w:val="top"/>
          </w:tcPr>
          <w:p>
            <w:pPr>
              <w:spacing w:line="600" w:lineRule="exact"/>
              <w:jc w:val="center"/>
              <w:rPr>
                <w:rFonts w:ascii="宋体" w:hAnsi="宋体" w:cs="宋体"/>
                <w:sz w:val="28"/>
                <w:szCs w:val="28"/>
              </w:rPr>
            </w:pPr>
            <w:r>
              <w:rPr>
                <w:rFonts w:hint="eastAsia" w:ascii="宋体" w:hAnsi="宋体" w:cs="宋体"/>
                <w:sz w:val="28"/>
                <w:szCs w:val="28"/>
              </w:rPr>
              <w:t>合同名称</w:t>
            </w:r>
          </w:p>
        </w:tc>
        <w:tc>
          <w:tcPr>
            <w:tcW w:w="7038" w:type="dxa"/>
            <w:gridSpan w:val="3"/>
            <w:noWrap/>
            <w:vAlign w:val="top"/>
          </w:tcPr>
          <w:p>
            <w:pPr>
              <w:spacing w:line="6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noWrap/>
            <w:vAlign w:val="top"/>
          </w:tcPr>
          <w:p>
            <w:pPr>
              <w:spacing w:line="600" w:lineRule="exact"/>
              <w:jc w:val="center"/>
              <w:rPr>
                <w:rFonts w:ascii="宋体" w:hAnsi="宋体" w:cs="宋体"/>
                <w:sz w:val="28"/>
                <w:szCs w:val="28"/>
              </w:rPr>
            </w:pPr>
            <w:r>
              <w:rPr>
                <w:rFonts w:hint="eastAsia" w:ascii="宋体" w:hAnsi="宋体" w:cs="宋体"/>
                <w:sz w:val="28"/>
                <w:szCs w:val="28"/>
              </w:rPr>
              <w:t>合同编号</w:t>
            </w:r>
          </w:p>
        </w:tc>
        <w:tc>
          <w:tcPr>
            <w:tcW w:w="1980" w:type="dxa"/>
            <w:noWrap/>
            <w:vAlign w:val="top"/>
          </w:tcPr>
          <w:p>
            <w:pPr>
              <w:spacing w:line="600" w:lineRule="exact"/>
              <w:jc w:val="center"/>
              <w:rPr>
                <w:rFonts w:ascii="宋体" w:hAnsi="宋体" w:cs="宋体"/>
                <w:sz w:val="28"/>
                <w:szCs w:val="28"/>
              </w:rPr>
            </w:pPr>
          </w:p>
        </w:tc>
        <w:tc>
          <w:tcPr>
            <w:tcW w:w="2160" w:type="dxa"/>
            <w:noWrap/>
            <w:vAlign w:val="top"/>
          </w:tcPr>
          <w:p>
            <w:pPr>
              <w:spacing w:line="600" w:lineRule="exact"/>
              <w:jc w:val="center"/>
              <w:rPr>
                <w:rFonts w:ascii="宋体" w:hAnsi="宋体" w:cs="宋体"/>
                <w:sz w:val="28"/>
                <w:szCs w:val="28"/>
              </w:rPr>
            </w:pPr>
            <w:r>
              <w:rPr>
                <w:rFonts w:hint="eastAsia" w:ascii="宋体" w:hAnsi="宋体" w:cs="宋体"/>
                <w:sz w:val="28"/>
                <w:szCs w:val="28"/>
              </w:rPr>
              <w:t>合同金额</w:t>
            </w:r>
          </w:p>
        </w:tc>
        <w:tc>
          <w:tcPr>
            <w:tcW w:w="2898" w:type="dxa"/>
            <w:noWrap/>
            <w:vAlign w:val="top"/>
          </w:tcPr>
          <w:p>
            <w:pPr>
              <w:spacing w:line="6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3" w:type="dxa"/>
            <w:noWrap/>
            <w:vAlign w:val="top"/>
          </w:tcPr>
          <w:p>
            <w:pPr>
              <w:spacing w:line="600" w:lineRule="exact"/>
              <w:jc w:val="center"/>
              <w:rPr>
                <w:rFonts w:ascii="宋体" w:hAnsi="宋体" w:cs="宋体"/>
                <w:sz w:val="28"/>
                <w:szCs w:val="28"/>
              </w:rPr>
            </w:pPr>
            <w:r>
              <w:rPr>
                <w:rFonts w:hint="eastAsia" w:ascii="宋体" w:hAnsi="宋体" w:cs="宋体"/>
                <w:sz w:val="28"/>
                <w:szCs w:val="28"/>
              </w:rPr>
              <w:t>验收时间</w:t>
            </w:r>
          </w:p>
        </w:tc>
        <w:tc>
          <w:tcPr>
            <w:tcW w:w="1980" w:type="dxa"/>
            <w:noWrap/>
            <w:vAlign w:val="top"/>
          </w:tcPr>
          <w:p>
            <w:pPr>
              <w:spacing w:line="600" w:lineRule="exact"/>
              <w:jc w:val="center"/>
              <w:rPr>
                <w:rFonts w:ascii="宋体" w:hAnsi="宋体" w:cs="宋体"/>
                <w:sz w:val="28"/>
                <w:szCs w:val="28"/>
              </w:rPr>
            </w:pPr>
          </w:p>
        </w:tc>
        <w:tc>
          <w:tcPr>
            <w:tcW w:w="2160" w:type="dxa"/>
            <w:noWrap/>
            <w:vAlign w:val="top"/>
          </w:tcPr>
          <w:p>
            <w:pPr>
              <w:spacing w:line="600" w:lineRule="exact"/>
              <w:jc w:val="center"/>
              <w:rPr>
                <w:rFonts w:ascii="宋体" w:hAnsi="宋体" w:cs="宋体"/>
                <w:sz w:val="28"/>
                <w:szCs w:val="28"/>
              </w:rPr>
            </w:pPr>
            <w:r>
              <w:rPr>
                <w:rFonts w:hint="eastAsia" w:ascii="宋体" w:hAnsi="宋体" w:cs="宋体"/>
                <w:sz w:val="28"/>
                <w:szCs w:val="28"/>
              </w:rPr>
              <w:t>验收地点</w:t>
            </w:r>
          </w:p>
        </w:tc>
        <w:tc>
          <w:tcPr>
            <w:tcW w:w="2898" w:type="dxa"/>
            <w:noWrap/>
            <w:vAlign w:val="top"/>
          </w:tcPr>
          <w:p>
            <w:pPr>
              <w:spacing w:line="6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3" w:type="dxa"/>
            <w:noWrap/>
            <w:vAlign w:val="top"/>
          </w:tcPr>
          <w:p>
            <w:pPr>
              <w:spacing w:line="600" w:lineRule="exact"/>
              <w:jc w:val="center"/>
              <w:rPr>
                <w:rFonts w:ascii="宋体" w:hAnsi="宋体" w:cs="宋体"/>
                <w:sz w:val="28"/>
                <w:szCs w:val="28"/>
              </w:rPr>
            </w:pPr>
            <w:r>
              <w:rPr>
                <w:rFonts w:hint="eastAsia" w:ascii="宋体" w:hAnsi="宋体" w:cs="宋体"/>
                <w:sz w:val="28"/>
                <w:szCs w:val="28"/>
              </w:rPr>
              <w:t>联系人</w:t>
            </w:r>
          </w:p>
        </w:tc>
        <w:tc>
          <w:tcPr>
            <w:tcW w:w="1980" w:type="dxa"/>
            <w:noWrap/>
            <w:vAlign w:val="top"/>
          </w:tcPr>
          <w:p>
            <w:pPr>
              <w:spacing w:line="600" w:lineRule="exact"/>
              <w:jc w:val="center"/>
              <w:rPr>
                <w:rFonts w:ascii="宋体" w:hAnsi="宋体" w:cs="宋体"/>
                <w:sz w:val="28"/>
                <w:szCs w:val="28"/>
              </w:rPr>
            </w:pPr>
          </w:p>
        </w:tc>
        <w:tc>
          <w:tcPr>
            <w:tcW w:w="2160" w:type="dxa"/>
            <w:noWrap/>
            <w:vAlign w:val="top"/>
          </w:tcPr>
          <w:p>
            <w:pPr>
              <w:spacing w:line="600" w:lineRule="exact"/>
              <w:jc w:val="center"/>
              <w:rPr>
                <w:rFonts w:ascii="宋体" w:hAnsi="宋体" w:cs="宋体"/>
                <w:sz w:val="28"/>
                <w:szCs w:val="28"/>
              </w:rPr>
            </w:pPr>
            <w:r>
              <w:rPr>
                <w:rFonts w:hint="eastAsia" w:ascii="宋体" w:hAnsi="宋体" w:cs="宋体"/>
                <w:sz w:val="28"/>
                <w:szCs w:val="28"/>
              </w:rPr>
              <w:t>联系电话</w:t>
            </w:r>
          </w:p>
        </w:tc>
        <w:tc>
          <w:tcPr>
            <w:tcW w:w="2898" w:type="dxa"/>
            <w:noWrap/>
            <w:vAlign w:val="top"/>
          </w:tcPr>
          <w:p>
            <w:pPr>
              <w:spacing w:line="600" w:lineRule="exact"/>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61" w:type="dxa"/>
            <w:gridSpan w:val="4"/>
            <w:noWrap/>
            <w:vAlign w:val="top"/>
          </w:tcPr>
          <w:p>
            <w:pPr>
              <w:spacing w:line="600" w:lineRule="exact"/>
              <w:jc w:val="center"/>
              <w:rPr>
                <w:rFonts w:ascii="宋体" w:hAnsi="宋体" w:cs="宋体"/>
                <w:sz w:val="28"/>
                <w:szCs w:val="28"/>
              </w:rPr>
            </w:pPr>
            <w:r>
              <w:rPr>
                <w:rFonts w:hint="eastAsia" w:ascii="宋体" w:hAnsi="宋体" w:cs="宋体"/>
                <w:sz w:val="28"/>
                <w:szCs w:val="28"/>
              </w:rPr>
              <w:t>验收方案及工作要求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4" w:hRule="atLeast"/>
        </w:trPr>
        <w:tc>
          <w:tcPr>
            <w:tcW w:w="9161" w:type="dxa"/>
            <w:gridSpan w:val="4"/>
            <w:noWrap/>
            <w:vAlign w:val="top"/>
          </w:tcPr>
          <w:p>
            <w:pPr>
              <w:rPr>
                <w:rFonts w:ascii="宋体" w:hAnsi="宋体" w:cs="宋体"/>
                <w:sz w:val="28"/>
                <w:szCs w:val="28"/>
              </w:rPr>
            </w:pPr>
          </w:p>
          <w:p>
            <w:pPr>
              <w:rPr>
                <w:rFonts w:ascii="宋体" w:hAnsi="宋体" w:cs="宋体"/>
                <w:sz w:val="28"/>
                <w:szCs w:val="28"/>
              </w:rPr>
            </w:pPr>
          </w:p>
          <w:p>
            <w:pPr>
              <w:jc w:val="center"/>
              <w:rPr>
                <w:rFonts w:ascii="宋体" w:hAnsi="宋体" w:cs="宋体"/>
                <w:sz w:val="28"/>
                <w:szCs w:val="28"/>
              </w:rPr>
            </w:pPr>
          </w:p>
          <w:p>
            <w:pPr>
              <w:spacing w:before="40" w:after="120"/>
              <w:ind w:left="420" w:leftChars="200" w:firstLine="560"/>
              <w:rPr>
                <w:rFonts w:ascii="宋体" w:hAnsi="宋体" w:cs="宋体"/>
                <w:kern w:val="0"/>
                <w:sz w:val="28"/>
                <w:szCs w:val="28"/>
              </w:rPr>
            </w:pPr>
          </w:p>
          <w:p>
            <w:pPr>
              <w:spacing w:before="40" w:after="120"/>
              <w:ind w:left="420" w:leftChars="200" w:firstLine="560"/>
              <w:rPr>
                <w:rFonts w:ascii="宋体" w:hAnsi="宋体" w:cs="宋体"/>
                <w:kern w:val="0"/>
                <w:sz w:val="28"/>
                <w:szCs w:val="28"/>
              </w:rPr>
            </w:pPr>
          </w:p>
          <w:p>
            <w:pPr>
              <w:spacing w:before="40" w:after="120"/>
              <w:ind w:left="420" w:leftChars="200" w:firstLine="560"/>
              <w:rPr>
                <w:rFonts w:ascii="宋体" w:hAnsi="宋体" w:cs="宋体"/>
                <w:kern w:val="0"/>
                <w:sz w:val="28"/>
                <w:szCs w:val="28"/>
              </w:rPr>
            </w:pPr>
          </w:p>
          <w:p>
            <w:pPr>
              <w:spacing w:before="40" w:after="120"/>
              <w:rPr>
                <w:rFonts w:ascii="宋体" w:hAnsi="宋体" w:cs="宋体"/>
                <w:kern w:val="0"/>
                <w:sz w:val="28"/>
                <w:szCs w:val="28"/>
              </w:rPr>
            </w:pPr>
          </w:p>
          <w:p>
            <w:pPr>
              <w:spacing w:before="40" w:after="120"/>
              <w:rPr>
                <w:rFonts w:ascii="宋体" w:hAnsi="宋体" w:cs="宋体"/>
                <w:kern w:val="0"/>
                <w:sz w:val="28"/>
                <w:szCs w:val="28"/>
              </w:rPr>
            </w:pPr>
          </w:p>
          <w:p>
            <w:pPr>
              <w:spacing w:before="40" w:after="120"/>
              <w:ind w:left="420" w:leftChars="200" w:firstLine="560"/>
              <w:rPr>
                <w:rFonts w:ascii="宋体" w:hAnsi="宋体" w:cs="宋体"/>
                <w:kern w:val="0"/>
                <w:sz w:val="28"/>
                <w:szCs w:val="28"/>
              </w:rPr>
            </w:pPr>
          </w:p>
          <w:p>
            <w:pPr>
              <w:jc w:val="center"/>
              <w:rPr>
                <w:rFonts w:ascii="宋体" w:hAnsi="宋体" w:cs="宋体"/>
                <w:sz w:val="28"/>
                <w:szCs w:val="28"/>
              </w:rPr>
            </w:pPr>
          </w:p>
          <w:p>
            <w:pPr>
              <w:jc w:val="center"/>
              <w:rPr>
                <w:rFonts w:ascii="宋体" w:hAnsi="宋体" w:cs="宋体"/>
                <w:sz w:val="28"/>
                <w:szCs w:val="28"/>
              </w:rPr>
            </w:pPr>
            <w:r>
              <w:rPr>
                <w:rFonts w:hint="eastAsia" w:ascii="宋体" w:hAnsi="宋体" w:cs="宋体"/>
                <w:sz w:val="28"/>
                <w:szCs w:val="28"/>
              </w:rPr>
              <w:t>组织实施单位公章</w:t>
            </w:r>
          </w:p>
          <w:p>
            <w:pPr>
              <w:jc w:val="center"/>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年  月  日</w:t>
            </w:r>
          </w:p>
          <w:p>
            <w:pPr>
              <w:spacing w:before="40" w:after="120"/>
              <w:rPr>
                <w:rFonts w:ascii="宋体" w:hAnsi="宋体" w:cs="宋体"/>
                <w:kern w:val="0"/>
                <w:sz w:val="28"/>
                <w:szCs w:val="28"/>
              </w:rPr>
            </w:pPr>
          </w:p>
          <w:p>
            <w:pPr>
              <w:spacing w:line="360" w:lineRule="exact"/>
              <w:rPr>
                <w:rFonts w:ascii="宋体" w:hAnsi="宋体" w:cs="宋体"/>
                <w:sz w:val="28"/>
                <w:szCs w:val="28"/>
              </w:rPr>
            </w:pPr>
          </w:p>
        </w:tc>
      </w:tr>
    </w:tbl>
    <w:p>
      <w:pPr>
        <w:spacing w:line="480" w:lineRule="exact"/>
        <w:sectPr>
          <w:headerReference r:id="rId7" w:type="default"/>
          <w:footerReference r:id="rId8" w:type="default"/>
          <w:pgSz w:w="11906" w:h="16838"/>
          <w:pgMar w:top="1440" w:right="1134" w:bottom="1440" w:left="1134" w:header="720" w:footer="720" w:gutter="0"/>
          <w:pgNumType w:fmt="decimal"/>
          <w:cols w:space="720" w:num="1"/>
          <w:docGrid w:linePitch="312" w:charSpace="0"/>
        </w:sectPr>
      </w:pPr>
      <w:r>
        <w:rPr>
          <w:rFonts w:hint="eastAsia" w:ascii="宋体" w:hAnsi="宋体" w:cs="宋体"/>
          <w:sz w:val="28"/>
          <w:szCs w:val="28"/>
        </w:rPr>
        <w:t>注：本表一式四份，采购人二份、采购代理机构一份、中标供应商一份。</w:t>
      </w:r>
    </w:p>
    <w:p>
      <w:pPr>
        <w:spacing w:before="220"/>
        <w:rPr>
          <w:rFonts w:hint="eastAsia" w:hAnsi="宋体" w:cs="宋体"/>
          <w:sz w:val="28"/>
          <w:szCs w:val="28"/>
        </w:rPr>
      </w:pPr>
      <w:r>
        <w:rPr>
          <w:rFonts w:hint="eastAsia" w:hAnsi="宋体" w:cs="宋体"/>
          <w:sz w:val="28"/>
          <w:szCs w:val="28"/>
        </w:rPr>
        <w:t>附件2</w:t>
      </w:r>
    </w:p>
    <w:p>
      <w:pPr>
        <w:spacing w:before="120" w:beforeLines="50" w:after="120" w:afterLines="50" w:line="460" w:lineRule="exact"/>
        <w:jc w:val="center"/>
        <w:rPr>
          <w:rFonts w:ascii="宋体" w:hAnsi="宋体"/>
          <w:b/>
          <w:sz w:val="44"/>
          <w:szCs w:val="44"/>
        </w:rPr>
      </w:pPr>
      <w:r>
        <w:rPr>
          <w:rFonts w:hint="eastAsia"/>
          <w:b/>
          <w:sz w:val="44"/>
          <w:szCs w:val="44"/>
        </w:rPr>
        <w:t>政府采购</w:t>
      </w:r>
      <w:r>
        <w:rPr>
          <w:rFonts w:hint="eastAsia" w:ascii="宋体" w:hAnsi="宋体"/>
          <w:b/>
          <w:sz w:val="44"/>
          <w:szCs w:val="44"/>
        </w:rPr>
        <w:t>履约验收书参考样本(工程类)</w:t>
      </w:r>
    </w:p>
    <w:tbl>
      <w:tblPr>
        <w:tblStyle w:val="32"/>
        <w:tblW w:w="15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028"/>
        <w:gridCol w:w="141"/>
        <w:gridCol w:w="1701"/>
        <w:gridCol w:w="284"/>
        <w:gridCol w:w="1007"/>
        <w:gridCol w:w="552"/>
        <w:gridCol w:w="2126"/>
        <w:gridCol w:w="1276"/>
        <w:gridCol w:w="852"/>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81" w:type="dxa"/>
            <w:noWrap w:val="0"/>
            <w:vAlign w:val="center"/>
          </w:tcPr>
          <w:p>
            <w:pPr>
              <w:spacing w:line="280" w:lineRule="exact"/>
              <w:jc w:val="center"/>
              <w:rPr>
                <w:rFonts w:ascii="宋体" w:hAnsi="宋体"/>
                <w:sz w:val="24"/>
                <w:szCs w:val="24"/>
              </w:rPr>
            </w:pPr>
            <w:r>
              <w:rPr>
                <w:rFonts w:hint="eastAsia" w:ascii="宋体" w:hAnsi="宋体"/>
                <w:sz w:val="24"/>
                <w:szCs w:val="24"/>
              </w:rPr>
              <w:t>采购单位</w:t>
            </w:r>
          </w:p>
        </w:tc>
        <w:tc>
          <w:tcPr>
            <w:tcW w:w="2169" w:type="dxa"/>
            <w:gridSpan w:val="2"/>
            <w:noWrap w:val="0"/>
            <w:vAlign w:val="center"/>
          </w:tcPr>
          <w:p>
            <w:pPr>
              <w:spacing w:line="280" w:lineRule="exact"/>
              <w:jc w:val="center"/>
              <w:rPr>
                <w:rFonts w:ascii="宋体" w:hAnsi="宋体"/>
                <w:sz w:val="24"/>
                <w:szCs w:val="24"/>
              </w:rPr>
            </w:pPr>
          </w:p>
        </w:tc>
        <w:tc>
          <w:tcPr>
            <w:tcW w:w="1985"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项目名称</w:t>
            </w:r>
          </w:p>
        </w:tc>
        <w:tc>
          <w:tcPr>
            <w:tcW w:w="1559" w:type="dxa"/>
            <w:gridSpan w:val="2"/>
            <w:noWrap w:val="0"/>
            <w:vAlign w:val="center"/>
          </w:tcPr>
          <w:p>
            <w:pPr>
              <w:spacing w:line="280" w:lineRule="exact"/>
              <w:jc w:val="center"/>
              <w:rPr>
                <w:rFonts w:ascii="宋体" w:hAnsi="宋体"/>
                <w:sz w:val="24"/>
                <w:szCs w:val="24"/>
              </w:rPr>
            </w:pPr>
          </w:p>
        </w:tc>
        <w:tc>
          <w:tcPr>
            <w:tcW w:w="3402"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合同名称</w:t>
            </w:r>
          </w:p>
        </w:tc>
        <w:tc>
          <w:tcPr>
            <w:tcW w:w="3944" w:type="dxa"/>
            <w:gridSpan w:val="2"/>
            <w:noWrap w:val="0"/>
            <w:vAlign w:val="center"/>
          </w:tcPr>
          <w:p>
            <w:pPr>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81" w:type="dxa"/>
            <w:noWrap w:val="0"/>
            <w:vAlign w:val="center"/>
          </w:tcPr>
          <w:p>
            <w:pPr>
              <w:spacing w:line="280" w:lineRule="exact"/>
              <w:jc w:val="center"/>
              <w:rPr>
                <w:rFonts w:ascii="宋体" w:hAnsi="宋体"/>
                <w:sz w:val="24"/>
                <w:szCs w:val="24"/>
              </w:rPr>
            </w:pPr>
            <w:r>
              <w:rPr>
                <w:rFonts w:hint="eastAsia" w:ascii="宋体" w:hAnsi="宋体"/>
                <w:sz w:val="24"/>
                <w:szCs w:val="24"/>
              </w:rPr>
              <w:t>供应商</w:t>
            </w:r>
          </w:p>
        </w:tc>
        <w:tc>
          <w:tcPr>
            <w:tcW w:w="2169" w:type="dxa"/>
            <w:gridSpan w:val="2"/>
            <w:noWrap w:val="0"/>
            <w:vAlign w:val="center"/>
          </w:tcPr>
          <w:p>
            <w:pPr>
              <w:spacing w:line="280" w:lineRule="exact"/>
              <w:jc w:val="center"/>
              <w:rPr>
                <w:rFonts w:ascii="宋体" w:hAnsi="宋体"/>
                <w:sz w:val="24"/>
                <w:szCs w:val="24"/>
              </w:rPr>
            </w:pPr>
          </w:p>
        </w:tc>
        <w:tc>
          <w:tcPr>
            <w:tcW w:w="1985"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项目及合同编号</w:t>
            </w:r>
          </w:p>
        </w:tc>
        <w:tc>
          <w:tcPr>
            <w:tcW w:w="1559" w:type="dxa"/>
            <w:gridSpan w:val="2"/>
            <w:noWrap w:val="0"/>
            <w:vAlign w:val="center"/>
          </w:tcPr>
          <w:p>
            <w:pPr>
              <w:spacing w:line="280" w:lineRule="exact"/>
              <w:jc w:val="center"/>
              <w:rPr>
                <w:rFonts w:ascii="宋体" w:hAnsi="宋体"/>
                <w:sz w:val="24"/>
                <w:szCs w:val="24"/>
              </w:rPr>
            </w:pPr>
          </w:p>
        </w:tc>
        <w:tc>
          <w:tcPr>
            <w:tcW w:w="3402"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合同金额</w:t>
            </w:r>
          </w:p>
        </w:tc>
        <w:tc>
          <w:tcPr>
            <w:tcW w:w="3944" w:type="dxa"/>
            <w:gridSpan w:val="2"/>
            <w:noWrap w:val="0"/>
            <w:vAlign w:val="center"/>
          </w:tcPr>
          <w:p>
            <w:pPr>
              <w:spacing w:line="28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81" w:type="dxa"/>
            <w:noWrap w:val="0"/>
            <w:vAlign w:val="center"/>
          </w:tcPr>
          <w:p>
            <w:pPr>
              <w:spacing w:line="280" w:lineRule="exact"/>
              <w:jc w:val="center"/>
              <w:rPr>
                <w:rFonts w:ascii="宋体" w:hAnsi="宋体"/>
                <w:sz w:val="24"/>
                <w:szCs w:val="24"/>
              </w:rPr>
            </w:pPr>
            <w:r>
              <w:rPr>
                <w:rFonts w:hint="eastAsia" w:ascii="宋体" w:hAnsi="宋体"/>
                <w:sz w:val="24"/>
                <w:szCs w:val="24"/>
              </w:rPr>
              <w:t>分期验收</w:t>
            </w:r>
          </w:p>
        </w:tc>
        <w:tc>
          <w:tcPr>
            <w:tcW w:w="2169"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是□   否□</w:t>
            </w:r>
          </w:p>
        </w:tc>
        <w:tc>
          <w:tcPr>
            <w:tcW w:w="1985"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分期情况</w:t>
            </w:r>
          </w:p>
        </w:tc>
        <w:tc>
          <w:tcPr>
            <w:tcW w:w="8905" w:type="dxa"/>
            <w:gridSpan w:val="6"/>
            <w:noWrap w:val="0"/>
            <w:vAlign w:val="center"/>
          </w:tcPr>
          <w:p>
            <w:pPr>
              <w:spacing w:line="280" w:lineRule="exact"/>
              <w:jc w:val="center"/>
              <w:rPr>
                <w:rFonts w:ascii="宋体" w:hAnsi="宋体"/>
                <w:sz w:val="24"/>
                <w:szCs w:val="24"/>
              </w:rPr>
            </w:pPr>
            <w:r>
              <w:rPr>
                <w:rFonts w:hint="eastAsia" w:ascii="宋体" w:hAnsi="宋体"/>
                <w:sz w:val="24"/>
                <w:szCs w:val="24"/>
              </w:rPr>
              <w:t>共分   期，此为第   期验收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181" w:type="dxa"/>
            <w:noWrap w:val="0"/>
            <w:vAlign w:val="center"/>
          </w:tcPr>
          <w:p>
            <w:pPr>
              <w:spacing w:line="280" w:lineRule="exact"/>
              <w:jc w:val="center"/>
              <w:rPr>
                <w:rFonts w:ascii="宋体" w:hAnsi="宋体"/>
                <w:sz w:val="24"/>
                <w:szCs w:val="24"/>
              </w:rPr>
            </w:pPr>
            <w:r>
              <w:rPr>
                <w:rFonts w:hint="eastAsia" w:ascii="宋体" w:hAnsi="宋体"/>
                <w:sz w:val="24"/>
                <w:szCs w:val="24"/>
              </w:rPr>
              <w:t>验收时间</w:t>
            </w:r>
          </w:p>
        </w:tc>
        <w:tc>
          <w:tcPr>
            <w:tcW w:w="2169" w:type="dxa"/>
            <w:gridSpan w:val="2"/>
            <w:noWrap w:val="0"/>
            <w:vAlign w:val="center"/>
          </w:tcPr>
          <w:p>
            <w:pPr>
              <w:spacing w:line="280" w:lineRule="exact"/>
              <w:jc w:val="center"/>
              <w:rPr>
                <w:rFonts w:ascii="宋体" w:hAnsi="宋体"/>
                <w:sz w:val="24"/>
                <w:szCs w:val="24"/>
              </w:rPr>
            </w:pPr>
          </w:p>
        </w:tc>
        <w:tc>
          <w:tcPr>
            <w:tcW w:w="1985"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验收地点</w:t>
            </w:r>
          </w:p>
        </w:tc>
        <w:tc>
          <w:tcPr>
            <w:tcW w:w="1559" w:type="dxa"/>
            <w:gridSpan w:val="2"/>
            <w:noWrap w:val="0"/>
            <w:vAlign w:val="center"/>
          </w:tcPr>
          <w:p>
            <w:pPr>
              <w:spacing w:line="280" w:lineRule="exact"/>
              <w:jc w:val="center"/>
              <w:rPr>
                <w:rFonts w:ascii="宋体" w:hAnsi="宋体"/>
                <w:sz w:val="24"/>
                <w:szCs w:val="24"/>
              </w:rPr>
            </w:pPr>
          </w:p>
        </w:tc>
        <w:tc>
          <w:tcPr>
            <w:tcW w:w="3402" w:type="dxa"/>
            <w:gridSpan w:val="2"/>
            <w:noWrap w:val="0"/>
            <w:vAlign w:val="center"/>
          </w:tcPr>
          <w:p>
            <w:pPr>
              <w:spacing w:line="280" w:lineRule="exact"/>
              <w:ind w:left="432" w:hanging="432" w:hangingChars="180"/>
              <w:jc w:val="center"/>
              <w:rPr>
                <w:rFonts w:ascii="宋体" w:hAnsi="宋体"/>
                <w:sz w:val="24"/>
                <w:szCs w:val="24"/>
              </w:rPr>
            </w:pPr>
            <w:r>
              <w:rPr>
                <w:rFonts w:hint="eastAsia" w:ascii="宋体" w:hAnsi="宋体"/>
                <w:sz w:val="24"/>
                <w:szCs w:val="24"/>
              </w:rPr>
              <w:t>验收组织形式</w:t>
            </w:r>
          </w:p>
        </w:tc>
        <w:tc>
          <w:tcPr>
            <w:tcW w:w="3944" w:type="dxa"/>
            <w:gridSpan w:val="2"/>
            <w:noWrap w:val="0"/>
            <w:vAlign w:val="center"/>
          </w:tcPr>
          <w:p>
            <w:pPr>
              <w:ind w:left="960" w:hanging="960" w:hangingChars="400"/>
              <w:rPr>
                <w:rFonts w:ascii="宋体" w:hAnsi="宋体"/>
                <w:sz w:val="24"/>
                <w:szCs w:val="24"/>
              </w:rPr>
            </w:pPr>
            <w:r>
              <w:rPr>
                <w:rFonts w:hint="eastAsia" w:ascii="仿宋_GB2312" w:eastAsia="仿宋_GB2312"/>
                <w:sz w:val="24"/>
              </w:rPr>
              <w:t>□自行简易验收□验收小组验收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181" w:type="dxa"/>
            <w:vMerge w:val="restart"/>
            <w:noWrap w:val="0"/>
            <w:vAlign w:val="center"/>
          </w:tcPr>
          <w:p>
            <w:pPr>
              <w:spacing w:line="280" w:lineRule="exact"/>
              <w:jc w:val="center"/>
              <w:rPr>
                <w:rFonts w:ascii="宋体" w:hAnsi="宋体"/>
                <w:sz w:val="24"/>
                <w:szCs w:val="24"/>
              </w:rPr>
            </w:pPr>
            <w:r>
              <w:rPr>
                <w:rFonts w:hint="eastAsia" w:ascii="宋体" w:hAnsi="宋体"/>
                <w:sz w:val="24"/>
                <w:szCs w:val="24"/>
              </w:rPr>
              <w:t>验收内容</w:t>
            </w:r>
          </w:p>
        </w:tc>
        <w:tc>
          <w:tcPr>
            <w:tcW w:w="2028" w:type="dxa"/>
            <w:noWrap w:val="0"/>
            <w:vAlign w:val="center"/>
          </w:tcPr>
          <w:p>
            <w:pPr>
              <w:spacing w:line="280" w:lineRule="exact"/>
              <w:jc w:val="center"/>
              <w:rPr>
                <w:sz w:val="24"/>
                <w:szCs w:val="24"/>
              </w:rPr>
            </w:pPr>
            <w:r>
              <w:rPr>
                <w:rFonts w:hint="eastAsia"/>
                <w:sz w:val="24"/>
                <w:szCs w:val="24"/>
              </w:rPr>
              <w:t>施工内容</w:t>
            </w:r>
          </w:p>
        </w:tc>
        <w:tc>
          <w:tcPr>
            <w:tcW w:w="1842" w:type="dxa"/>
            <w:gridSpan w:val="2"/>
            <w:noWrap w:val="0"/>
            <w:vAlign w:val="center"/>
          </w:tcPr>
          <w:p>
            <w:pPr>
              <w:spacing w:line="280" w:lineRule="exact"/>
              <w:jc w:val="center"/>
              <w:rPr>
                <w:sz w:val="24"/>
                <w:szCs w:val="24"/>
              </w:rPr>
            </w:pPr>
            <w:r>
              <w:rPr>
                <w:rFonts w:hint="eastAsia" w:ascii="宋体" w:hAnsi="宋体"/>
                <w:sz w:val="24"/>
                <w:szCs w:val="24"/>
              </w:rPr>
              <w:t>施工</w:t>
            </w:r>
            <w:r>
              <w:rPr>
                <w:rFonts w:hint="eastAsia"/>
                <w:sz w:val="24"/>
                <w:szCs w:val="24"/>
              </w:rPr>
              <w:t>进度</w:t>
            </w:r>
          </w:p>
        </w:tc>
        <w:tc>
          <w:tcPr>
            <w:tcW w:w="1843" w:type="dxa"/>
            <w:gridSpan w:val="3"/>
            <w:noWrap w:val="0"/>
            <w:vAlign w:val="center"/>
          </w:tcPr>
          <w:p>
            <w:pPr>
              <w:spacing w:line="280" w:lineRule="exact"/>
              <w:jc w:val="center"/>
              <w:rPr>
                <w:rFonts w:ascii="宋体" w:hAnsi="宋体"/>
                <w:sz w:val="24"/>
                <w:szCs w:val="24"/>
              </w:rPr>
            </w:pPr>
            <w:r>
              <w:rPr>
                <w:rFonts w:hint="eastAsia" w:ascii="宋体" w:hAnsi="宋体"/>
                <w:sz w:val="24"/>
                <w:szCs w:val="24"/>
              </w:rPr>
              <w:t>施工质量</w:t>
            </w:r>
          </w:p>
        </w:tc>
        <w:tc>
          <w:tcPr>
            <w:tcW w:w="2126" w:type="dxa"/>
            <w:noWrap w:val="0"/>
            <w:vAlign w:val="center"/>
          </w:tcPr>
          <w:p>
            <w:pPr>
              <w:spacing w:line="280" w:lineRule="exact"/>
              <w:jc w:val="center"/>
              <w:rPr>
                <w:rFonts w:ascii="宋体" w:hAnsi="宋体"/>
                <w:sz w:val="24"/>
                <w:szCs w:val="24"/>
              </w:rPr>
            </w:pPr>
            <w:r>
              <w:rPr>
                <w:rFonts w:hint="eastAsia" w:ascii="宋体" w:hAnsi="宋体"/>
                <w:sz w:val="24"/>
                <w:szCs w:val="24"/>
              </w:rPr>
              <w:t>施工人员</w:t>
            </w:r>
          </w:p>
          <w:p>
            <w:pPr>
              <w:spacing w:line="280" w:lineRule="exact"/>
              <w:jc w:val="center"/>
              <w:rPr>
                <w:sz w:val="24"/>
                <w:szCs w:val="24"/>
              </w:rPr>
            </w:pPr>
            <w:r>
              <w:rPr>
                <w:rFonts w:hint="eastAsia" w:ascii="宋体" w:hAnsi="宋体"/>
                <w:sz w:val="24"/>
                <w:szCs w:val="24"/>
              </w:rPr>
              <w:t>配备情况</w:t>
            </w:r>
          </w:p>
        </w:tc>
        <w:tc>
          <w:tcPr>
            <w:tcW w:w="2128" w:type="dxa"/>
            <w:gridSpan w:val="2"/>
            <w:noWrap w:val="0"/>
            <w:vAlign w:val="center"/>
          </w:tcPr>
          <w:p>
            <w:pPr>
              <w:spacing w:line="280" w:lineRule="exact"/>
              <w:jc w:val="center"/>
              <w:rPr>
                <w:rFonts w:ascii="宋体" w:hAnsi="宋体"/>
                <w:sz w:val="24"/>
                <w:szCs w:val="24"/>
              </w:rPr>
            </w:pPr>
            <w:r>
              <w:rPr>
                <w:rFonts w:hint="eastAsia" w:ascii="宋体" w:hAnsi="宋体"/>
                <w:sz w:val="24"/>
                <w:szCs w:val="24"/>
              </w:rPr>
              <w:t>施工设备</w:t>
            </w:r>
          </w:p>
          <w:p>
            <w:pPr>
              <w:spacing w:line="280" w:lineRule="exact"/>
              <w:jc w:val="center"/>
              <w:rPr>
                <w:szCs w:val="21"/>
              </w:rPr>
            </w:pPr>
            <w:r>
              <w:rPr>
                <w:rFonts w:hint="eastAsia" w:ascii="宋体" w:hAnsi="宋体"/>
                <w:sz w:val="24"/>
                <w:szCs w:val="24"/>
              </w:rPr>
              <w:t>配备情况</w:t>
            </w:r>
          </w:p>
        </w:tc>
        <w:tc>
          <w:tcPr>
            <w:tcW w:w="3092" w:type="dxa"/>
            <w:noWrap w:val="0"/>
            <w:vAlign w:val="center"/>
          </w:tcPr>
          <w:p>
            <w:pPr>
              <w:spacing w:line="280" w:lineRule="exact"/>
              <w:jc w:val="center"/>
              <w:rPr>
                <w:szCs w:val="21"/>
              </w:rPr>
            </w:pPr>
            <w:r>
              <w:rPr>
                <w:rFonts w:hint="eastAsia" w:ascii="宋体" w:hAnsi="宋体"/>
                <w:sz w:val="24"/>
              </w:rPr>
              <w:t>安全文明标准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81" w:type="dxa"/>
            <w:vMerge w:val="continue"/>
            <w:noWrap w:val="0"/>
            <w:vAlign w:val="center"/>
          </w:tcPr>
          <w:p>
            <w:pPr>
              <w:spacing w:line="280" w:lineRule="exact"/>
              <w:jc w:val="center"/>
              <w:rPr>
                <w:rFonts w:ascii="宋体" w:hAnsi="宋体"/>
                <w:sz w:val="24"/>
                <w:szCs w:val="24"/>
              </w:rPr>
            </w:pPr>
          </w:p>
        </w:tc>
        <w:tc>
          <w:tcPr>
            <w:tcW w:w="2028" w:type="dxa"/>
            <w:noWrap w:val="0"/>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1842" w:type="dxa"/>
            <w:gridSpan w:val="2"/>
            <w:noWrap w:val="0"/>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1843" w:type="dxa"/>
            <w:gridSpan w:val="3"/>
            <w:noWrap w:val="0"/>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rPr>
            </w:pPr>
            <w:r>
              <w:rPr>
                <w:rFonts w:hint="eastAsia" w:ascii="宋体" w:hAnsi="宋体"/>
                <w:sz w:val="24"/>
              </w:rPr>
              <w:t xml:space="preserve"> 不合格□</w:t>
            </w:r>
          </w:p>
        </w:tc>
        <w:tc>
          <w:tcPr>
            <w:tcW w:w="2126" w:type="dxa"/>
            <w:noWrap w:val="0"/>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2128" w:type="dxa"/>
            <w:gridSpan w:val="2"/>
            <w:noWrap w:val="0"/>
            <w:vAlign w:val="center"/>
          </w:tcPr>
          <w:p>
            <w:pPr>
              <w:spacing w:line="280" w:lineRule="exact"/>
              <w:ind w:firstLine="120" w:firstLineChars="50"/>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 xml:space="preserve"> 不合格□</w:t>
            </w:r>
          </w:p>
        </w:tc>
        <w:tc>
          <w:tcPr>
            <w:tcW w:w="3092" w:type="dxa"/>
            <w:noWrap w:val="0"/>
            <w:vAlign w:val="center"/>
          </w:tcPr>
          <w:p>
            <w:pPr>
              <w:spacing w:line="280" w:lineRule="exact"/>
              <w:jc w:val="center"/>
              <w:rPr>
                <w:rFonts w:ascii="宋体" w:hAnsi="宋体"/>
                <w:sz w:val="24"/>
              </w:rPr>
            </w:pPr>
            <w:r>
              <w:rPr>
                <w:rFonts w:hint="eastAsia" w:ascii="宋体" w:hAnsi="宋体"/>
                <w:sz w:val="24"/>
                <w:szCs w:val="24"/>
              </w:rPr>
              <w:t>合  格</w:t>
            </w:r>
            <w:r>
              <w:rPr>
                <w:rFonts w:hint="eastAsia" w:ascii="宋体" w:hAnsi="宋体"/>
                <w:sz w:val="24"/>
              </w:rPr>
              <w:t>□</w:t>
            </w:r>
          </w:p>
          <w:p>
            <w:pPr>
              <w:spacing w:line="280" w:lineRule="exact"/>
              <w:jc w:val="center"/>
              <w:rPr>
                <w:rFonts w:ascii="宋体" w:hAnsi="宋体"/>
                <w:sz w:val="24"/>
                <w:szCs w:val="24"/>
              </w:rPr>
            </w:pPr>
            <w:r>
              <w:rPr>
                <w:rFonts w:hint="eastAsia" w:ascii="宋体" w:hAnsi="宋体"/>
                <w:sz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noWrap w:val="0"/>
            <w:vAlign w:val="center"/>
          </w:tcPr>
          <w:p>
            <w:pPr>
              <w:spacing w:line="280" w:lineRule="exact"/>
              <w:jc w:val="center"/>
              <w:rPr>
                <w:sz w:val="24"/>
              </w:rPr>
            </w:pPr>
            <w:r>
              <w:rPr>
                <w:rFonts w:hint="eastAsia"/>
                <w:sz w:val="24"/>
              </w:rPr>
              <w:t>第三方机构</w:t>
            </w:r>
          </w:p>
          <w:p>
            <w:pPr>
              <w:spacing w:line="280" w:lineRule="exact"/>
              <w:jc w:val="center"/>
              <w:rPr>
                <w:rFonts w:ascii="宋体" w:hAnsi="宋体"/>
                <w:sz w:val="24"/>
                <w:szCs w:val="24"/>
              </w:rPr>
            </w:pPr>
            <w:r>
              <w:rPr>
                <w:rFonts w:hint="eastAsia"/>
                <w:sz w:val="24"/>
              </w:rPr>
              <w:t>情况说明</w:t>
            </w:r>
          </w:p>
        </w:tc>
        <w:tc>
          <w:tcPr>
            <w:tcW w:w="13059" w:type="dxa"/>
            <w:gridSpan w:val="10"/>
            <w:noWrap w:val="0"/>
            <w:vAlign w:val="center"/>
          </w:tcPr>
          <w:p>
            <w:pPr>
              <w:spacing w:line="280" w:lineRule="exact"/>
            </w:pPr>
            <w:r>
              <w:rPr>
                <w:rFonts w:hint="eastAsia"/>
              </w:rPr>
              <w:t>（设计、监理等机构可根据实际情况，出具相关意见）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noWrap w:val="0"/>
            <w:vAlign w:val="center"/>
          </w:tcPr>
          <w:p>
            <w:pPr>
              <w:spacing w:line="280" w:lineRule="exact"/>
              <w:jc w:val="center"/>
              <w:rPr>
                <w:rFonts w:ascii="宋体" w:hAnsi="宋体"/>
                <w:sz w:val="24"/>
                <w:szCs w:val="24"/>
              </w:rPr>
            </w:pPr>
            <w:r>
              <w:rPr>
                <w:rFonts w:hint="eastAsia" w:ascii="宋体" w:hAnsi="宋体"/>
                <w:sz w:val="24"/>
                <w:szCs w:val="24"/>
              </w:rPr>
              <w:t>存在问题</w:t>
            </w:r>
          </w:p>
          <w:p>
            <w:pPr>
              <w:spacing w:line="280" w:lineRule="exact"/>
              <w:jc w:val="center"/>
              <w:rPr>
                <w:rFonts w:ascii="宋体" w:hAnsi="宋体"/>
                <w:sz w:val="24"/>
                <w:szCs w:val="24"/>
              </w:rPr>
            </w:pPr>
            <w:r>
              <w:rPr>
                <w:rFonts w:hint="eastAsia" w:ascii="宋体" w:hAnsi="宋体"/>
                <w:sz w:val="24"/>
                <w:szCs w:val="24"/>
              </w:rPr>
              <w:t>和改进意见</w:t>
            </w:r>
          </w:p>
        </w:tc>
        <w:tc>
          <w:tcPr>
            <w:tcW w:w="13059" w:type="dxa"/>
            <w:gridSpan w:val="10"/>
            <w:noWrap w:val="0"/>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81" w:type="dxa"/>
            <w:noWrap w:val="0"/>
            <w:vAlign w:val="center"/>
          </w:tcPr>
          <w:p>
            <w:pPr>
              <w:spacing w:line="280" w:lineRule="exact"/>
              <w:jc w:val="center"/>
              <w:rPr>
                <w:rFonts w:ascii="宋体" w:hAnsi="宋体"/>
                <w:sz w:val="24"/>
                <w:szCs w:val="24"/>
              </w:rPr>
            </w:pPr>
            <w:r>
              <w:rPr>
                <w:rFonts w:hint="eastAsia" w:ascii="宋体" w:hAnsi="宋体"/>
                <w:sz w:val="24"/>
                <w:szCs w:val="24"/>
              </w:rPr>
              <w:t>最终结论</w:t>
            </w:r>
          </w:p>
        </w:tc>
        <w:tc>
          <w:tcPr>
            <w:tcW w:w="13059" w:type="dxa"/>
            <w:gridSpan w:val="10"/>
            <w:noWrap w:val="0"/>
            <w:vAlign w:val="center"/>
          </w:tcPr>
          <w:p>
            <w:pPr>
              <w:spacing w:line="280" w:lineRule="exact"/>
              <w:jc w:val="center"/>
              <w:rPr>
                <w:rFonts w:ascii="宋体" w:hAnsi="宋体"/>
                <w:sz w:val="24"/>
                <w:szCs w:val="24"/>
              </w:rPr>
            </w:pPr>
            <w:r>
              <w:rPr>
                <w:rFonts w:hint="eastAsia" w:ascii="宋体" w:hAnsi="宋体"/>
                <w:sz w:val="24"/>
                <w:szCs w:val="24"/>
              </w:rPr>
              <w:t>合  格</w:t>
            </w:r>
            <w:r>
              <w:rPr>
                <w:rFonts w:hint="eastAsia" w:ascii="宋体" w:hAnsi="宋体"/>
                <w:sz w:val="24"/>
              </w:rPr>
              <w:t>□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1" w:type="dxa"/>
            <w:noWrap w:val="0"/>
            <w:vAlign w:val="center"/>
          </w:tcPr>
          <w:p>
            <w:pPr>
              <w:spacing w:line="280" w:lineRule="exact"/>
              <w:jc w:val="center"/>
              <w:rPr>
                <w:sz w:val="24"/>
              </w:rPr>
            </w:pPr>
            <w:r>
              <w:rPr>
                <w:rFonts w:hint="eastAsia"/>
                <w:sz w:val="24"/>
              </w:rPr>
              <w:t>验收小组</w:t>
            </w:r>
          </w:p>
          <w:p>
            <w:pPr>
              <w:spacing w:line="280" w:lineRule="exact"/>
              <w:jc w:val="center"/>
              <w:rPr>
                <w:sz w:val="24"/>
              </w:rPr>
            </w:pPr>
            <w:r>
              <w:rPr>
                <w:rFonts w:hint="eastAsia"/>
                <w:sz w:val="24"/>
              </w:rPr>
              <w:t>成员签字</w:t>
            </w:r>
          </w:p>
        </w:tc>
        <w:tc>
          <w:tcPr>
            <w:tcW w:w="13059" w:type="dxa"/>
            <w:gridSpan w:val="10"/>
            <w:noWrap w:val="0"/>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342" w:type="dxa"/>
            <w:gridSpan w:val="6"/>
            <w:noWrap w:val="0"/>
            <w:vAlign w:val="center"/>
          </w:tcPr>
          <w:p>
            <w:pPr>
              <w:spacing w:line="280" w:lineRule="exact"/>
              <w:jc w:val="center"/>
              <w:rPr>
                <w:rFonts w:ascii="宋体" w:hAnsi="宋体"/>
                <w:sz w:val="24"/>
                <w:szCs w:val="24"/>
              </w:rPr>
            </w:pPr>
            <w:r>
              <w:rPr>
                <w:rFonts w:hint="eastAsia" w:ascii="宋体" w:hAnsi="宋体"/>
                <w:sz w:val="24"/>
                <w:szCs w:val="24"/>
              </w:rPr>
              <w:t>代理机构意见</w:t>
            </w:r>
          </w:p>
        </w:tc>
        <w:tc>
          <w:tcPr>
            <w:tcW w:w="7898" w:type="dxa"/>
            <w:gridSpan w:val="5"/>
            <w:noWrap w:val="0"/>
            <w:vAlign w:val="center"/>
          </w:tcPr>
          <w:p>
            <w:pPr>
              <w:spacing w:line="280" w:lineRule="exact"/>
              <w:jc w:val="center"/>
              <w:rPr>
                <w:rFonts w:ascii="宋体" w:hAnsi="宋体"/>
                <w:sz w:val="24"/>
                <w:szCs w:val="24"/>
              </w:rPr>
            </w:pPr>
            <w:r>
              <w:rPr>
                <w:rFonts w:hint="eastAsia" w:ascii="宋体" w:hAnsi="宋体"/>
                <w:sz w:val="24"/>
                <w:szCs w:val="24"/>
              </w:rPr>
              <w:t>采购单位意见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342" w:type="dxa"/>
            <w:gridSpan w:val="6"/>
            <w:noWrap w:val="0"/>
            <w:vAlign w:val="top"/>
          </w:tcPr>
          <w:p>
            <w:pPr>
              <w:spacing w:line="280" w:lineRule="exact"/>
              <w:rPr>
                <w:sz w:val="24"/>
                <w:szCs w:val="24"/>
              </w:rPr>
            </w:pPr>
            <w:r>
              <w:rPr>
                <w:rFonts w:hint="eastAsia"/>
                <w:sz w:val="24"/>
                <w:szCs w:val="24"/>
              </w:rPr>
              <w:t xml:space="preserve">                                                    </w:t>
            </w:r>
          </w:p>
          <w:p>
            <w:pPr>
              <w:spacing w:line="280" w:lineRule="exact"/>
              <w:ind w:firstLine="120" w:firstLineChars="50"/>
              <w:jc w:val="center"/>
              <w:rPr>
                <w:sz w:val="24"/>
                <w:szCs w:val="24"/>
              </w:rPr>
            </w:pPr>
            <w:r>
              <w:rPr>
                <w:rFonts w:hint="eastAsia"/>
                <w:sz w:val="24"/>
                <w:szCs w:val="24"/>
              </w:rPr>
              <w:t xml:space="preserve">  经办人：          负责人：           （采购代理机构公章）</w:t>
            </w:r>
          </w:p>
        </w:tc>
        <w:tc>
          <w:tcPr>
            <w:tcW w:w="7898" w:type="dxa"/>
            <w:gridSpan w:val="5"/>
            <w:noWrap w:val="0"/>
            <w:vAlign w:val="top"/>
          </w:tcPr>
          <w:p>
            <w:pPr>
              <w:spacing w:line="280" w:lineRule="exact"/>
              <w:ind w:firstLine="120" w:firstLineChars="50"/>
              <w:rPr>
                <w:sz w:val="24"/>
                <w:szCs w:val="24"/>
              </w:rPr>
            </w:pPr>
            <w:r>
              <w:rPr>
                <w:rFonts w:hint="eastAsia"/>
                <w:sz w:val="24"/>
                <w:szCs w:val="24"/>
              </w:rPr>
              <w:t xml:space="preserve">                                                     </w:t>
            </w:r>
          </w:p>
          <w:p>
            <w:pPr>
              <w:spacing w:line="280" w:lineRule="exact"/>
              <w:rPr>
                <w:sz w:val="24"/>
                <w:szCs w:val="24"/>
              </w:rPr>
            </w:pPr>
            <w:r>
              <w:rPr>
                <w:rFonts w:hint="eastAsia"/>
                <w:sz w:val="24"/>
                <w:szCs w:val="24"/>
              </w:rPr>
              <w:t>经办人：       负责人：                （采购单位公章）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40" w:type="dxa"/>
            <w:gridSpan w:val="11"/>
            <w:noWrap w:val="0"/>
            <w:vAlign w:val="top"/>
          </w:tcPr>
          <w:p>
            <w:pPr>
              <w:spacing w:line="280" w:lineRule="exact"/>
              <w:rPr>
                <w:sz w:val="24"/>
                <w:szCs w:val="24"/>
              </w:rPr>
            </w:pPr>
            <w:r>
              <w:rPr>
                <w:rFonts w:hint="eastAsia"/>
                <w:sz w:val="24"/>
                <w:szCs w:val="24"/>
              </w:rPr>
              <w:t>供应商确认：                                                                        （单位公章或授权代表签字）</w:t>
            </w:r>
          </w:p>
        </w:tc>
      </w:tr>
    </w:tbl>
    <w:p>
      <w:pPr>
        <w:spacing w:line="280" w:lineRule="exact"/>
      </w:pPr>
      <w:r>
        <w:rPr>
          <w:rFonts w:hint="eastAsia"/>
        </w:rPr>
        <w:t>说明：1.该表为工程类项目履约验收的参考样表，采购人或采购代理机构可以根据工作实际进行调整。</w:t>
      </w:r>
    </w:p>
    <w:p>
      <w:pPr>
        <w:spacing w:line="280" w:lineRule="exact"/>
        <w:rPr>
          <w:rFonts w:hint="eastAsia"/>
        </w:rPr>
        <w:sectPr>
          <w:headerReference r:id="rId9" w:type="default"/>
          <w:footerReference r:id="rId10" w:type="default"/>
          <w:footerReference r:id="rId11" w:type="even"/>
          <w:pgSz w:w="16838" w:h="11906" w:orient="landscape"/>
          <w:pgMar w:top="1293" w:right="1440" w:bottom="1247" w:left="1440" w:header="851" w:footer="992" w:gutter="0"/>
          <w:pgNumType w:fmt="decimal"/>
          <w:cols w:space="720" w:num="1"/>
          <w:docGrid w:linePitch="312" w:charSpace="0"/>
        </w:sectPr>
      </w:pPr>
      <w:r>
        <w:t xml:space="preserve">    </w:t>
      </w:r>
      <w:r>
        <w:rPr>
          <w:rFonts w:hint="eastAsia"/>
        </w:rPr>
        <w:t xml:space="preserve">  </w:t>
      </w:r>
      <w:r>
        <w:t>2.</w:t>
      </w:r>
      <w:r>
        <w:rPr>
          <w:rFonts w:hint="eastAsia"/>
        </w:rPr>
        <w:t>“代理机构意见”，履约验收工作由采购人自行组织的，无需填写该项内容。</w:t>
      </w:r>
    </w:p>
    <w:p>
      <w:pPr>
        <w:keepNext/>
        <w:keepLines/>
        <w:jc w:val="center"/>
        <w:outlineLvl w:val="0"/>
        <w:rPr>
          <w:rFonts w:hint="eastAsia" w:ascii="宋体" w:hAnsi="宋体" w:eastAsia="宋体" w:cs="宋体"/>
          <w:bCs/>
          <w:kern w:val="44"/>
          <w:sz w:val="32"/>
          <w:szCs w:val="32"/>
        </w:rPr>
      </w:pPr>
      <w:r>
        <w:rPr>
          <w:rFonts w:hint="eastAsia" w:ascii="宋体" w:hAnsi="宋体" w:eastAsia="宋体" w:cs="宋体"/>
          <w:bCs/>
          <w:kern w:val="44"/>
          <w:sz w:val="32"/>
          <w:szCs w:val="32"/>
        </w:rPr>
        <w:t>第五章  附件</w:t>
      </w:r>
      <w:bookmarkEnd w:id="35"/>
      <w:bookmarkEnd w:id="36"/>
      <w:bookmarkEnd w:id="37"/>
    </w:p>
    <w:p>
      <w:pPr>
        <w:rPr>
          <w:rFonts w:hint="eastAsia" w:ascii="宋体" w:hAnsi="宋体" w:eastAsia="宋体" w:cs="宋体"/>
          <w:sz w:val="24"/>
        </w:rPr>
      </w:pPr>
      <w:r>
        <w:rPr>
          <w:rFonts w:hint="eastAsia" w:ascii="宋体" w:hAnsi="宋体" w:eastAsia="宋体" w:cs="宋体"/>
          <w:sz w:val="24"/>
        </w:rPr>
        <w:t>附件一：</w:t>
      </w:r>
    </w:p>
    <w:p>
      <w:pPr>
        <w:keepNext/>
        <w:keepLines/>
        <w:tabs>
          <w:tab w:val="left" w:pos="1260"/>
        </w:tabs>
        <w:spacing w:line="700" w:lineRule="exact"/>
        <w:ind w:firstLine="562" w:firstLineChars="200"/>
        <w:jc w:val="center"/>
        <w:outlineLvl w:val="1"/>
        <w:rPr>
          <w:rFonts w:hint="eastAsia" w:ascii="宋体" w:hAnsi="宋体" w:eastAsia="宋体" w:cs="宋体"/>
          <w:b/>
          <w:bCs/>
          <w:sz w:val="28"/>
          <w:szCs w:val="28"/>
        </w:rPr>
      </w:pPr>
      <w:bookmarkStart w:id="55" w:name="_Toc76741796"/>
      <w:r>
        <w:rPr>
          <w:rFonts w:hint="eastAsia" w:ascii="宋体" w:hAnsi="宋体" w:cs="宋体"/>
          <w:b/>
          <w:sz w:val="28"/>
          <w:szCs w:val="28"/>
          <w:lang w:val="en-US" w:eastAsia="zh-CN"/>
        </w:rPr>
        <w:t xml:space="preserve"> </w:t>
      </w:r>
      <w:r>
        <w:rPr>
          <w:rFonts w:hint="eastAsia" w:ascii="宋体" w:hAnsi="宋体" w:eastAsia="宋体" w:cs="宋体"/>
          <w:b/>
          <w:sz w:val="28"/>
          <w:szCs w:val="28"/>
        </w:rPr>
        <w:t>投 标 函</w:t>
      </w:r>
      <w:bookmarkEnd w:id="55"/>
    </w:p>
    <w:p>
      <w:pPr>
        <w:spacing w:line="500" w:lineRule="exact"/>
        <w:jc w:val="left"/>
        <w:rPr>
          <w:rFonts w:hint="eastAsia" w:ascii="宋体" w:hAnsi="宋体" w:eastAsia="宋体" w:cs="宋体"/>
          <w:sz w:val="24"/>
          <w:u w:val="single"/>
        </w:rPr>
      </w:pPr>
      <w:r>
        <w:rPr>
          <w:rFonts w:hint="eastAsia" w:ascii="宋体" w:hAnsi="宋体" w:cs="宋体"/>
          <w:sz w:val="24"/>
          <w:u w:val="single"/>
          <w:lang w:eastAsia="zh-CN"/>
        </w:rPr>
        <w:t>山东省临沂市卫生学校</w:t>
      </w:r>
      <w:r>
        <w:rPr>
          <w:rFonts w:hint="eastAsia" w:ascii="宋体" w:hAnsi="宋体" w:eastAsia="宋体" w:cs="宋体"/>
          <w:sz w:val="24"/>
          <w:u w:val="single"/>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经研究，我方决定参加</w:t>
      </w:r>
      <w:r>
        <w:rPr>
          <w:rFonts w:hint="eastAsia" w:ascii="宋体" w:hAnsi="宋体" w:cs="宋体"/>
          <w:sz w:val="24"/>
          <w:u w:val="single"/>
          <w:lang w:val="en-US" w:eastAsia="zh-CN"/>
        </w:rPr>
        <w:t xml:space="preserve">                </w:t>
      </w:r>
      <w:r>
        <w:rPr>
          <w:rFonts w:hint="eastAsia" w:ascii="宋体" w:hAnsi="宋体" w:eastAsia="宋体" w:cs="宋体"/>
          <w:sz w:val="24"/>
        </w:rPr>
        <w:t>项目（项目编号：</w:t>
      </w:r>
      <w:r>
        <w:rPr>
          <w:rFonts w:hint="eastAsia" w:ascii="宋体" w:hAnsi="宋体" w:cs="宋体"/>
          <w:sz w:val="24"/>
          <w:u w:val="single"/>
          <w:lang w:val="en-US" w:eastAsia="zh-CN"/>
        </w:rPr>
        <w:t xml:space="preserve">        </w:t>
      </w:r>
      <w:r>
        <w:rPr>
          <w:rFonts w:hint="eastAsia" w:ascii="宋体" w:hAnsi="宋体" w:eastAsia="宋体" w:cs="宋体"/>
          <w:sz w:val="24"/>
        </w:rPr>
        <w:t>）的公开招标活动并提交投标文件。为此，我方郑重声明以下诸点，并负法律责任：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1.我方完全理解和接受招标文件的一切规定和要求，按规定提交投标文件数量。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2.如果我方的投标文件被接受，我方将履行招标文件中规定的每一项要求，并按我方投标文件中的承诺，保证按期完成项目的实施。</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3.我方理解，最低报价不是中标的唯一条件，你们有选择中标人的权利。</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4.我方愿按《中华人民共和国合同法》履行自己的全部责任。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5.我方同意按招标文件要求交纳招标代理服务费，公证费，遵守贵机构对本次项目所做的有关规定。</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6.我方投标文件的有效期为投标截止时间起90日。</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7.我方若未成为中标人，贵机构有权不做任何解释。</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8.我方与本此投标有关的一切正式往来通讯请寄：</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地    址：</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邮政编号：</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电    话：</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传    真：</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开户单位：</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开户银行：</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账    号：</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供应商全权代表姓名、职务：</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供应商全称（公章）：</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法定代表人签字：</w:t>
      </w:r>
    </w:p>
    <w:p>
      <w:pPr>
        <w:spacing w:line="500" w:lineRule="exact"/>
        <w:rPr>
          <w:rFonts w:hint="eastAsia" w:ascii="宋体" w:hAnsi="宋体" w:eastAsia="宋体" w:cs="宋体"/>
          <w:sz w:val="24"/>
        </w:rPr>
      </w:pPr>
      <w:r>
        <w:rPr>
          <w:rFonts w:hint="eastAsia" w:ascii="宋体" w:hAnsi="宋体" w:eastAsia="宋体" w:cs="宋体"/>
          <w:sz w:val="24"/>
        </w:rPr>
        <w:t>日 期：      年   月   日</w:t>
      </w:r>
    </w:p>
    <w:p>
      <w:pPr>
        <w:rPr>
          <w:rFonts w:hint="eastAsia" w:ascii="宋体" w:hAnsi="宋体" w:eastAsia="宋体" w:cs="宋体"/>
          <w:bCs/>
          <w:sz w:val="24"/>
        </w:rPr>
      </w:pPr>
      <w:r>
        <w:rPr>
          <w:rFonts w:hint="eastAsia" w:ascii="宋体" w:hAnsi="宋体" w:eastAsia="宋体" w:cs="宋体"/>
          <w:bCs/>
          <w:sz w:val="24"/>
        </w:rPr>
        <w:br w:type="page"/>
      </w:r>
    </w:p>
    <w:p>
      <w:pPr>
        <w:spacing w:line="440" w:lineRule="exact"/>
        <w:rPr>
          <w:rFonts w:hint="eastAsia" w:ascii="宋体" w:hAnsi="宋体" w:eastAsia="宋体" w:cs="宋体"/>
          <w:sz w:val="24"/>
        </w:rPr>
      </w:pPr>
      <w:r>
        <w:rPr>
          <w:rFonts w:hint="eastAsia" w:ascii="宋体" w:hAnsi="宋体" w:eastAsia="宋体" w:cs="宋体"/>
          <w:bCs/>
          <w:sz w:val="24"/>
        </w:rPr>
        <w:t>附件二</w:t>
      </w:r>
      <w:r>
        <w:rPr>
          <w:rFonts w:hint="eastAsia" w:ascii="宋体" w:hAnsi="宋体" w:eastAsia="宋体" w:cs="宋体"/>
          <w:sz w:val="24"/>
        </w:rPr>
        <w:t>：</w:t>
      </w:r>
    </w:p>
    <w:p>
      <w:pPr>
        <w:keepNext/>
        <w:keepLines/>
        <w:tabs>
          <w:tab w:val="left" w:pos="1260"/>
        </w:tabs>
        <w:spacing w:line="700" w:lineRule="exact"/>
        <w:jc w:val="center"/>
        <w:outlineLvl w:val="1"/>
        <w:rPr>
          <w:rFonts w:hint="eastAsia" w:ascii="宋体" w:hAnsi="宋体" w:eastAsia="宋体" w:cs="宋体"/>
          <w:b/>
          <w:sz w:val="28"/>
          <w:szCs w:val="28"/>
        </w:rPr>
      </w:pPr>
      <w:bookmarkStart w:id="56" w:name="_Toc76741797"/>
      <w:r>
        <w:rPr>
          <w:rFonts w:hint="eastAsia" w:ascii="宋体" w:hAnsi="宋体" w:cs="宋体"/>
          <w:b/>
          <w:sz w:val="28"/>
          <w:szCs w:val="28"/>
          <w:lang w:val="en-US" w:eastAsia="zh-CN"/>
        </w:rPr>
        <w:t xml:space="preserve"> </w:t>
      </w:r>
      <w:r>
        <w:rPr>
          <w:rFonts w:hint="eastAsia" w:ascii="宋体" w:hAnsi="宋体" w:eastAsia="宋体" w:cs="宋体"/>
          <w:b/>
          <w:sz w:val="28"/>
          <w:szCs w:val="28"/>
        </w:rPr>
        <w:t>法定代表人授权委托书</w:t>
      </w:r>
      <w:bookmarkEnd w:id="56"/>
    </w:p>
    <w:p>
      <w:pPr>
        <w:spacing w:before="100" w:beforeAutospacing="1" w:after="100" w:afterAutospacing="1" w:line="200" w:lineRule="exact"/>
        <w:rPr>
          <w:rFonts w:hint="eastAsia" w:ascii="宋体" w:hAnsi="宋体" w:eastAsia="宋体" w:cs="宋体"/>
          <w:b/>
          <w:bCs/>
          <w:sz w:val="24"/>
        </w:rPr>
      </w:pP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（供应商名称）  </w:t>
      </w:r>
      <w:r>
        <w:rPr>
          <w:rFonts w:hint="eastAsia" w:ascii="宋体" w:hAnsi="宋体" w:eastAsia="宋体" w:cs="宋体"/>
          <w:sz w:val="24"/>
        </w:rPr>
        <w:t>法定代表人，现授权委托</w:t>
      </w:r>
      <w:r>
        <w:rPr>
          <w:rFonts w:hint="eastAsia" w:ascii="宋体" w:hAnsi="宋体" w:eastAsia="宋体" w:cs="宋体"/>
          <w:sz w:val="24"/>
          <w:u w:val="single"/>
        </w:rPr>
        <w:t>（姓名、职务或职称）</w:t>
      </w:r>
      <w:r>
        <w:rPr>
          <w:rFonts w:hint="eastAsia" w:ascii="宋体" w:hAnsi="宋体" w:eastAsia="宋体" w:cs="宋体"/>
          <w:sz w:val="24"/>
        </w:rPr>
        <w:t>为我单位本次项目的授权代理人，以本单位的名义参加组织的项目编号为的招标活动。授权代理人在报价、评审、定标、合同签订过程中签署的一切文件和处理与之有关的一切事务，我均予以承认。</w:t>
      </w:r>
    </w:p>
    <w:p>
      <w:pPr>
        <w:spacing w:line="500" w:lineRule="exact"/>
        <w:ind w:firstLine="525"/>
        <w:rPr>
          <w:rFonts w:hint="eastAsia" w:ascii="宋体" w:hAnsi="宋体" w:eastAsia="宋体" w:cs="宋体"/>
          <w:sz w:val="24"/>
        </w:rPr>
      </w:pPr>
      <w:r>
        <w:rPr>
          <w:rFonts w:hint="eastAsia" w:ascii="宋体" w:hAnsi="宋体" w:eastAsia="宋体" w:cs="宋体"/>
          <w:sz w:val="24"/>
        </w:rPr>
        <w:t>全权代表无权转让委托权。特此委托。</w:t>
      </w: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jc w:val="center"/>
        <w:rPr>
          <w:rFonts w:hint="eastAsia" w:ascii="宋体" w:hAnsi="宋体" w:eastAsia="宋体" w:cs="宋体"/>
          <w:sz w:val="24"/>
        </w:rPr>
      </w:pPr>
      <w:r>
        <w:rPr>
          <w:rFonts w:hint="eastAsia" w:ascii="宋体" w:hAnsi="宋体" w:eastAsia="宋体" w:cs="宋体"/>
          <w:sz w:val="24"/>
        </w:rPr>
        <w:t>(附贴全权代表人身份证复印件)</w:t>
      </w: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r>
        <w:rPr>
          <w:rFonts w:hint="eastAsia" w:ascii="宋体" w:hAnsi="宋体" w:eastAsia="宋体" w:cs="宋体"/>
          <w:sz w:val="24"/>
        </w:rPr>
        <w:t>全权代表姓名：            性 别：           年 龄：</w:t>
      </w:r>
    </w:p>
    <w:p>
      <w:pPr>
        <w:spacing w:line="500" w:lineRule="exact"/>
        <w:rPr>
          <w:rFonts w:hint="eastAsia" w:ascii="宋体" w:hAnsi="宋体" w:eastAsia="宋体" w:cs="宋体"/>
          <w:sz w:val="24"/>
        </w:rPr>
      </w:pPr>
      <w:r>
        <w:rPr>
          <w:rFonts w:hint="eastAsia" w:ascii="宋体" w:hAnsi="宋体" w:eastAsia="宋体" w:cs="宋体"/>
          <w:sz w:val="24"/>
        </w:rPr>
        <w:t>单  位：                  部 门：           职 务：</w:t>
      </w: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r>
        <w:rPr>
          <w:rFonts w:hint="eastAsia" w:ascii="宋体" w:hAnsi="宋体" w:eastAsia="宋体" w:cs="宋体"/>
          <w:sz w:val="24"/>
        </w:rPr>
        <w:t>供应商（公章）：</w:t>
      </w:r>
    </w:p>
    <w:p>
      <w:pPr>
        <w:spacing w:line="500" w:lineRule="exact"/>
        <w:rPr>
          <w:rFonts w:hint="eastAsia" w:ascii="宋体" w:hAnsi="宋体" w:eastAsia="宋体" w:cs="宋体"/>
          <w:sz w:val="24"/>
        </w:rPr>
      </w:pPr>
      <w:r>
        <w:rPr>
          <w:rFonts w:hint="eastAsia" w:ascii="宋体" w:hAnsi="宋体" w:eastAsia="宋体" w:cs="宋体"/>
          <w:sz w:val="24"/>
        </w:rPr>
        <w:t>法定代表人签字：</w:t>
      </w:r>
    </w:p>
    <w:p>
      <w:pPr>
        <w:spacing w:line="500" w:lineRule="exact"/>
        <w:rPr>
          <w:rFonts w:hint="eastAsia" w:ascii="宋体" w:hAnsi="宋体" w:eastAsia="宋体" w:cs="宋体"/>
          <w:sz w:val="24"/>
        </w:rPr>
      </w:pPr>
      <w:r>
        <w:rPr>
          <w:rFonts w:hint="eastAsia" w:ascii="宋体" w:hAnsi="宋体" w:eastAsia="宋体" w:cs="宋体"/>
          <w:sz w:val="24"/>
        </w:rPr>
        <w:t>日 期：      年   月   日</w:t>
      </w:r>
    </w:p>
    <w:p>
      <w:pPr>
        <w:spacing w:line="500" w:lineRule="exact"/>
        <w:rPr>
          <w:rFonts w:hint="eastAsia" w:ascii="宋体" w:hAnsi="宋体" w:eastAsia="宋体" w:cs="宋体"/>
          <w:b/>
          <w:kern w:val="0"/>
          <w:sz w:val="24"/>
        </w:rPr>
      </w:pPr>
      <w:r>
        <w:rPr>
          <w:rFonts w:hint="eastAsia" w:ascii="宋体" w:hAnsi="宋体" w:eastAsia="宋体" w:cs="宋体"/>
          <w:sz w:val="24"/>
        </w:rPr>
        <w:br w:type="column"/>
      </w:r>
    </w:p>
    <w:p>
      <w:pPr>
        <w:spacing w:line="800" w:lineRule="exact"/>
        <w:jc w:val="center"/>
        <w:rPr>
          <w:rFonts w:hint="eastAsia" w:ascii="宋体" w:hAnsi="宋体" w:eastAsia="宋体" w:cs="宋体"/>
          <w:b/>
          <w:kern w:val="1"/>
          <w:sz w:val="28"/>
          <w:szCs w:val="28"/>
        </w:rPr>
      </w:pPr>
      <w:r>
        <w:rPr>
          <w:rFonts w:hint="eastAsia" w:ascii="宋体" w:hAnsi="宋体" w:eastAsia="宋体" w:cs="宋体"/>
          <w:b/>
          <w:kern w:val="1"/>
          <w:sz w:val="28"/>
          <w:szCs w:val="28"/>
        </w:rPr>
        <w:t>法定代表人身份证明书</w:t>
      </w:r>
    </w:p>
    <w:p>
      <w:pPr>
        <w:spacing w:line="600" w:lineRule="exact"/>
        <w:ind w:left="105" w:leftChars="50" w:right="105" w:rightChars="50" w:firstLine="516" w:firstLineChars="215"/>
        <w:rPr>
          <w:rFonts w:hint="eastAsia" w:ascii="宋体" w:hAnsi="宋体" w:eastAsia="宋体" w:cs="宋体"/>
          <w:sz w:val="24"/>
          <w:lang w:eastAsia="zh-CN"/>
        </w:rPr>
      </w:pPr>
      <w:r>
        <w:rPr>
          <w:rFonts w:hint="eastAsia" w:ascii="宋体" w:hAnsi="宋体" w:eastAsia="宋体" w:cs="宋体"/>
          <w:sz w:val="24"/>
        </w:rPr>
        <w:t>申 请 人：</w:t>
      </w:r>
      <w:r>
        <w:rPr>
          <w:rFonts w:hint="eastAsia" w:ascii="宋体" w:hAnsi="宋体" w:cs="宋体"/>
          <w:color w:val="FFFFFF"/>
          <w:sz w:val="24"/>
          <w:u w:val="none"/>
          <w:lang w:val="en-US" w:eastAsia="zh-CN"/>
        </w:rPr>
        <w:t xml:space="preserve"> </w:t>
      </w:r>
    </w:p>
    <w:p>
      <w:pPr>
        <w:spacing w:line="600" w:lineRule="exact"/>
        <w:ind w:left="105" w:leftChars="50" w:right="105" w:rightChars="50" w:firstLine="516" w:firstLineChars="215"/>
        <w:rPr>
          <w:rFonts w:hint="eastAsia" w:ascii="宋体" w:hAnsi="宋体" w:eastAsia="宋体" w:cs="宋体"/>
          <w:sz w:val="24"/>
          <w:u w:val="none"/>
          <w:lang w:eastAsia="zh-CN"/>
        </w:rPr>
      </w:pPr>
      <w:r>
        <w:rPr>
          <w:rFonts w:hint="eastAsia" w:ascii="宋体" w:hAnsi="宋体" w:eastAsia="宋体" w:cs="宋体"/>
          <w:sz w:val="24"/>
        </w:rPr>
        <w:t>单位性质：</w:t>
      </w:r>
      <w:r>
        <w:rPr>
          <w:rFonts w:hint="eastAsia" w:ascii="宋体" w:hAnsi="宋体" w:cs="宋体"/>
          <w:color w:val="FFFFFF"/>
          <w:sz w:val="24"/>
          <w:u w:val="none"/>
          <w:lang w:val="en-US" w:eastAsia="zh-CN"/>
        </w:rPr>
        <w:t xml:space="preserve"> </w:t>
      </w:r>
    </w:p>
    <w:p>
      <w:pPr>
        <w:spacing w:line="600" w:lineRule="exact"/>
        <w:ind w:left="105" w:leftChars="50" w:right="105" w:rightChars="50" w:firstLine="516" w:firstLineChars="215"/>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color w:val="FFFFFF"/>
          <w:sz w:val="24"/>
          <w:u w:val="none"/>
          <w:lang w:val="en-US" w:eastAsia="zh-CN"/>
        </w:rPr>
        <w:t xml:space="preserve"> </w:t>
      </w:r>
    </w:p>
    <w:p>
      <w:pPr>
        <w:spacing w:line="600" w:lineRule="exact"/>
        <w:ind w:left="105" w:leftChars="50" w:right="105" w:rightChars="50" w:firstLine="516" w:firstLineChars="215"/>
        <w:rPr>
          <w:rFonts w:hint="eastAsia" w:ascii="宋体" w:hAnsi="宋体" w:eastAsia="宋体" w:cs="宋体"/>
          <w:sz w:val="24"/>
        </w:rPr>
      </w:pPr>
      <w:r>
        <w:rPr>
          <w:rFonts w:hint="eastAsia" w:ascii="宋体" w:hAnsi="宋体" w:eastAsia="宋体" w:cs="宋体"/>
          <w:sz w:val="24"/>
        </w:rPr>
        <w:t>成立时间：年月日</w:t>
      </w:r>
    </w:p>
    <w:p>
      <w:pPr>
        <w:spacing w:line="600" w:lineRule="exact"/>
        <w:ind w:left="105" w:leftChars="50" w:right="105" w:rightChars="50" w:firstLine="516" w:firstLineChars="215"/>
        <w:rPr>
          <w:rFonts w:hint="eastAsia" w:ascii="宋体" w:hAnsi="宋体" w:eastAsia="宋体" w:cs="宋体"/>
          <w:sz w:val="24"/>
          <w:lang w:eastAsia="zh-CN"/>
        </w:rPr>
      </w:pPr>
      <w:r>
        <w:rPr>
          <w:rFonts w:hint="eastAsia" w:ascii="宋体" w:hAnsi="宋体" w:eastAsia="宋体" w:cs="宋体"/>
          <w:sz w:val="24"/>
        </w:rPr>
        <w:t>经营期限：</w:t>
      </w:r>
      <w:r>
        <w:rPr>
          <w:rFonts w:hint="eastAsia" w:ascii="宋体" w:hAnsi="宋体" w:cs="宋体"/>
          <w:color w:val="FFFFFF"/>
          <w:sz w:val="24"/>
          <w:u w:val="none"/>
          <w:lang w:val="en-US" w:eastAsia="zh-CN"/>
        </w:rPr>
        <w:t xml:space="preserve"> </w:t>
      </w:r>
    </w:p>
    <w:p>
      <w:pPr>
        <w:spacing w:line="600" w:lineRule="exact"/>
        <w:ind w:left="105" w:leftChars="50" w:right="105" w:rightChars="50" w:firstLine="516" w:firstLineChars="215"/>
        <w:rPr>
          <w:rFonts w:hint="eastAsia" w:ascii="宋体" w:hAnsi="宋体" w:eastAsia="宋体" w:cs="宋体"/>
          <w:sz w:val="24"/>
          <w:lang w:eastAsia="zh-CN"/>
        </w:rPr>
      </w:pPr>
      <w:r>
        <w:rPr>
          <w:rFonts w:hint="eastAsia" w:ascii="宋体" w:hAnsi="宋体" w:eastAsia="宋体" w:cs="宋体"/>
          <w:sz w:val="24"/>
        </w:rPr>
        <w:t>姓    名：性    别：</w:t>
      </w:r>
      <w:r>
        <w:rPr>
          <w:rFonts w:hint="eastAsia" w:ascii="宋体" w:hAnsi="宋体" w:cs="宋体"/>
          <w:color w:val="FFFFFF"/>
          <w:sz w:val="24"/>
          <w:u w:val="none"/>
          <w:lang w:val="en-US" w:eastAsia="zh-CN"/>
        </w:rPr>
        <w:t xml:space="preserve"> </w:t>
      </w:r>
    </w:p>
    <w:p>
      <w:pPr>
        <w:spacing w:line="600" w:lineRule="exact"/>
        <w:ind w:left="105" w:leftChars="50" w:right="105" w:rightChars="50" w:firstLine="516" w:firstLineChars="215"/>
        <w:rPr>
          <w:rFonts w:hint="eastAsia" w:ascii="宋体" w:hAnsi="宋体" w:eastAsia="宋体" w:cs="宋体"/>
          <w:sz w:val="24"/>
          <w:lang w:eastAsia="zh-CN"/>
        </w:rPr>
      </w:pPr>
      <w:r>
        <w:rPr>
          <w:rFonts w:hint="eastAsia" w:ascii="宋体" w:hAnsi="宋体" w:eastAsia="宋体" w:cs="宋体"/>
          <w:sz w:val="24"/>
        </w:rPr>
        <w:t>年    龄：职    务：</w:t>
      </w:r>
      <w:r>
        <w:rPr>
          <w:rFonts w:hint="eastAsia" w:ascii="宋体" w:hAnsi="宋体" w:cs="宋体"/>
          <w:color w:val="FFFFFF"/>
          <w:sz w:val="24"/>
          <w:u w:val="none"/>
          <w:lang w:val="en-US" w:eastAsia="zh-CN"/>
        </w:rPr>
        <w:t xml:space="preserve"> </w:t>
      </w:r>
    </w:p>
    <w:p>
      <w:pPr>
        <w:spacing w:line="600" w:lineRule="exact"/>
        <w:ind w:left="105" w:leftChars="50" w:right="105" w:rightChars="50" w:firstLine="516" w:firstLineChars="215"/>
        <w:rPr>
          <w:rFonts w:hint="eastAsia" w:ascii="宋体" w:hAnsi="宋体" w:eastAsia="宋体" w:cs="宋体"/>
          <w:sz w:val="24"/>
        </w:rPr>
      </w:pPr>
      <w:r>
        <w:rPr>
          <w:rFonts w:hint="eastAsia" w:ascii="宋体" w:hAnsi="宋体" w:eastAsia="宋体" w:cs="宋体"/>
          <w:sz w:val="24"/>
        </w:rPr>
        <w:t>系（申请人名称）的法定代表人。</w:t>
      </w:r>
    </w:p>
    <w:p>
      <w:pPr>
        <w:spacing w:line="600" w:lineRule="exact"/>
        <w:ind w:left="105" w:leftChars="50" w:right="105" w:rightChars="50" w:firstLine="516" w:firstLineChars="215"/>
        <w:rPr>
          <w:rFonts w:hint="eastAsia" w:ascii="宋体" w:hAnsi="宋体" w:eastAsia="宋体" w:cs="宋体"/>
          <w:sz w:val="24"/>
        </w:rPr>
      </w:pPr>
      <w:r>
        <w:rPr>
          <w:rFonts w:hint="eastAsia" w:ascii="宋体" w:hAnsi="宋体" w:eastAsia="宋体" w:cs="宋体"/>
          <w:sz w:val="24"/>
        </w:rPr>
        <w:t>特此证明。</w:t>
      </w:r>
    </w:p>
    <w:p>
      <w:pPr>
        <w:spacing w:line="600" w:lineRule="exact"/>
        <w:ind w:left="105" w:leftChars="50" w:right="105" w:rightChars="50"/>
        <w:rPr>
          <w:rFonts w:hint="eastAsia" w:ascii="宋体" w:hAnsi="宋体" w:eastAsia="宋体" w:cs="宋体"/>
          <w:sz w:val="24"/>
        </w:rPr>
      </w:pPr>
    </w:p>
    <w:p>
      <w:pPr>
        <w:spacing w:line="600" w:lineRule="exact"/>
        <w:ind w:left="105" w:leftChars="50" w:right="105" w:rightChars="50"/>
        <w:rPr>
          <w:rFonts w:hint="eastAsia" w:ascii="宋体" w:hAnsi="宋体" w:eastAsia="宋体" w:cs="宋体"/>
          <w:sz w:val="24"/>
        </w:rPr>
      </w:pPr>
    </w:p>
    <w:p>
      <w:pPr>
        <w:spacing w:line="600" w:lineRule="exact"/>
        <w:ind w:left="105" w:leftChars="50" w:right="105" w:rightChars="50"/>
        <w:rPr>
          <w:rFonts w:hint="eastAsia" w:ascii="宋体" w:hAnsi="宋体" w:eastAsia="宋体" w:cs="宋体"/>
          <w:sz w:val="24"/>
        </w:rPr>
      </w:pPr>
    </w:p>
    <w:p>
      <w:pPr>
        <w:spacing w:line="700" w:lineRule="exact"/>
        <w:ind w:firstLine="3542" w:firstLineChars="1476"/>
        <w:jc w:val="center"/>
        <w:rPr>
          <w:rFonts w:hint="eastAsia" w:ascii="宋体" w:hAnsi="宋体" w:eastAsia="宋体" w:cs="宋体"/>
          <w:sz w:val="24"/>
        </w:rPr>
      </w:pPr>
      <w:r>
        <w:rPr>
          <w:rFonts w:hint="eastAsia" w:ascii="宋体" w:hAnsi="宋体" w:eastAsia="宋体" w:cs="宋体"/>
          <w:sz w:val="24"/>
        </w:rPr>
        <w:t>供应商：（公章）</w:t>
      </w:r>
    </w:p>
    <w:p>
      <w:pPr>
        <w:spacing w:line="700" w:lineRule="exact"/>
        <w:ind w:firstLine="3542" w:firstLineChars="1476"/>
        <w:jc w:val="center"/>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日   期：年 月</w:t>
      </w:r>
      <w:r>
        <w:rPr>
          <w:rFonts w:hint="eastAsia" w:ascii="宋体" w:hAnsi="宋体" w:cs="宋体"/>
          <w:sz w:val="24"/>
          <w:lang w:val="en-US" w:eastAsia="zh-CN"/>
        </w:rPr>
        <w:t xml:space="preserve">  </w:t>
      </w:r>
      <w:r>
        <w:rPr>
          <w:rFonts w:hint="eastAsia" w:ascii="宋体" w:hAnsi="宋体" w:eastAsia="宋体" w:cs="宋体"/>
          <w:sz w:val="24"/>
        </w:rPr>
        <w:t>日</w:t>
      </w:r>
    </w:p>
    <w:p>
      <w:pPr>
        <w:rPr>
          <w:rFonts w:hint="eastAsia" w:ascii="宋体" w:hAnsi="宋体" w:eastAsia="宋体" w:cs="宋体"/>
          <w:kern w:val="1"/>
          <w:sz w:val="24"/>
          <w:szCs w:val="20"/>
        </w:rPr>
      </w:pPr>
      <w:r>
        <w:rPr>
          <w:rFonts w:hint="eastAsia" w:ascii="宋体" w:hAnsi="宋体" w:eastAsia="宋体" w:cs="宋体"/>
          <w:kern w:val="1"/>
          <w:sz w:val="24"/>
          <w:szCs w:val="20"/>
        </w:rPr>
        <w:br w:type="page"/>
      </w:r>
    </w:p>
    <w:p>
      <w:pPr>
        <w:rPr>
          <w:rFonts w:hint="eastAsia" w:ascii="宋体" w:hAnsi="宋体" w:eastAsia="宋体" w:cs="宋体"/>
          <w:bCs/>
          <w:sz w:val="24"/>
        </w:rPr>
      </w:pPr>
    </w:p>
    <w:p>
      <w:pPr>
        <w:rPr>
          <w:rFonts w:hint="eastAsia" w:ascii="宋体" w:hAnsi="宋体" w:eastAsia="宋体" w:cs="宋体"/>
          <w:bCs/>
          <w:sz w:val="24"/>
        </w:rPr>
      </w:pPr>
      <w:r>
        <w:rPr>
          <w:rFonts w:hint="eastAsia" w:ascii="宋体" w:hAnsi="宋体" w:eastAsia="宋体" w:cs="宋体"/>
          <w:bCs/>
          <w:sz w:val="24"/>
        </w:rPr>
        <w:t>附件三：</w:t>
      </w:r>
    </w:p>
    <w:p>
      <w:pPr>
        <w:keepNext/>
        <w:keepLines/>
        <w:tabs>
          <w:tab w:val="left" w:pos="1260"/>
        </w:tabs>
        <w:spacing w:line="700" w:lineRule="exact"/>
        <w:ind w:firstLine="562" w:firstLineChars="200"/>
        <w:jc w:val="center"/>
        <w:outlineLvl w:val="1"/>
        <w:rPr>
          <w:rFonts w:hint="eastAsia" w:ascii="宋体" w:hAnsi="宋体" w:eastAsia="宋体" w:cs="宋体"/>
          <w:b/>
          <w:sz w:val="28"/>
          <w:szCs w:val="28"/>
        </w:rPr>
      </w:pPr>
      <w:bookmarkStart w:id="57" w:name="_Toc76741798"/>
      <w:bookmarkStart w:id="58" w:name="_Toc290362408"/>
      <w:bookmarkStart w:id="59" w:name="_Toc502934319"/>
      <w:r>
        <w:rPr>
          <w:rFonts w:hint="eastAsia" w:ascii="宋体" w:hAnsi="宋体" w:cs="宋体"/>
          <w:b/>
          <w:sz w:val="28"/>
          <w:szCs w:val="28"/>
          <w:lang w:val="en-US" w:eastAsia="zh-CN"/>
        </w:rPr>
        <w:t xml:space="preserve"> </w:t>
      </w:r>
      <w:r>
        <w:rPr>
          <w:rFonts w:hint="eastAsia" w:ascii="宋体" w:hAnsi="宋体" w:eastAsia="宋体" w:cs="宋体"/>
          <w:b/>
          <w:sz w:val="28"/>
          <w:szCs w:val="28"/>
        </w:rPr>
        <w:t>公开报价一览表</w:t>
      </w:r>
      <w:bookmarkEnd w:id="57"/>
    </w:p>
    <w:p>
      <w:pPr>
        <w:spacing w:line="500" w:lineRule="exact"/>
        <w:ind w:firstLine="240" w:firstLineChars="100"/>
        <w:rPr>
          <w:rFonts w:hint="eastAsia" w:ascii="宋体" w:hAnsi="宋体" w:eastAsia="宋体" w:cs="宋体"/>
          <w:bCs/>
          <w:sz w:val="24"/>
        </w:rPr>
      </w:pPr>
      <w:r>
        <w:rPr>
          <w:rFonts w:hint="eastAsia" w:ascii="宋体" w:hAnsi="宋体" w:eastAsia="宋体" w:cs="宋体"/>
          <w:bCs/>
          <w:sz w:val="24"/>
        </w:rPr>
        <w:t>项目编码：</w:t>
      </w:r>
      <w:r>
        <w:rPr>
          <w:rFonts w:hint="eastAsia" w:ascii="宋体" w:hAnsi="宋体" w:cs="宋体"/>
          <w:bCs/>
          <w:sz w:val="24"/>
          <w:lang w:eastAsia="zh-CN"/>
        </w:rPr>
        <w:t>SDGP371300202102000930</w:t>
      </w:r>
    </w:p>
    <w:p>
      <w:pPr>
        <w:spacing w:line="500" w:lineRule="exact"/>
        <w:ind w:firstLine="240" w:firstLineChars="100"/>
        <w:rPr>
          <w:rFonts w:hint="eastAsia" w:ascii="宋体" w:hAnsi="宋体" w:eastAsia="宋体" w:cs="宋体"/>
          <w:bCs/>
          <w:sz w:val="24"/>
        </w:rPr>
      </w:pPr>
      <w:r>
        <w:rPr>
          <w:rFonts w:hint="eastAsia" w:ascii="宋体" w:hAnsi="宋体" w:eastAsia="宋体" w:cs="宋体"/>
          <w:bCs/>
          <w:sz w:val="24"/>
        </w:rPr>
        <w:t>项目名称：</w:t>
      </w:r>
      <w:r>
        <w:rPr>
          <w:rFonts w:hint="eastAsia" w:ascii="宋体" w:hAnsi="宋体" w:cs="宋体"/>
          <w:bCs/>
          <w:sz w:val="24"/>
          <w:lang w:eastAsia="zh-CN"/>
        </w:rPr>
        <w:t>山东省临沂卫生学校扩建项目图书信息综合楼B区图书馆及大厅装饰工程</w:t>
      </w:r>
    </w:p>
    <w:p>
      <w:pPr>
        <w:spacing w:line="200" w:lineRule="exact"/>
        <w:rPr>
          <w:rFonts w:hint="eastAsia" w:ascii="宋体" w:hAnsi="宋体" w:eastAsia="宋体" w:cs="宋体"/>
          <w:bCs/>
          <w:sz w:val="24"/>
        </w:rPr>
      </w:pPr>
    </w:p>
    <w:tbl>
      <w:tblPr>
        <w:tblStyle w:val="32"/>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7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116"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投标人名称</w:t>
            </w:r>
          </w:p>
        </w:tc>
        <w:tc>
          <w:tcPr>
            <w:tcW w:w="7239" w:type="dxa"/>
            <w:vAlign w:val="center"/>
          </w:tcPr>
          <w:p>
            <w:pPr>
              <w:spacing w:line="500" w:lineRule="exact"/>
              <w:ind w:firstLine="240" w:firstLineChars="100"/>
              <w:rPr>
                <w:rFonts w:hint="eastAsia" w:ascii="宋体" w:hAnsi="宋体" w:eastAsia="宋体" w:cs="宋体"/>
                <w:bCs/>
                <w:sz w:val="24"/>
              </w:rPr>
            </w:pPr>
            <w:r>
              <w:rPr>
                <w:rFonts w:hint="eastAsia" w:ascii="宋体" w:hAnsi="宋体" w:eastAsia="宋体" w:cs="宋体"/>
                <w:bCs/>
                <w:sz w:val="24"/>
              </w:rPr>
              <w:t>（</w:t>
            </w:r>
            <w:r>
              <w:rPr>
                <w:rFonts w:hint="eastAsia" w:ascii="宋体" w:hAnsi="宋体" w:cs="宋体"/>
                <w:bCs/>
                <w:sz w:val="24"/>
                <w:lang w:val="en-US" w:eastAsia="zh-CN"/>
              </w:rPr>
              <w:t>投标人</w:t>
            </w:r>
            <w:r>
              <w:rPr>
                <w:rFonts w:hint="eastAsia" w:ascii="宋体" w:hAnsi="宋体" w:eastAsia="宋体" w:cs="宋体"/>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2116"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标包</w:t>
            </w:r>
          </w:p>
        </w:tc>
        <w:tc>
          <w:tcPr>
            <w:tcW w:w="7239" w:type="dxa"/>
            <w:vAlign w:val="center"/>
          </w:tcPr>
          <w:p>
            <w:pPr>
              <w:spacing w:line="500" w:lineRule="exact"/>
              <w:ind w:firstLine="240" w:firstLineChars="100"/>
              <w:rPr>
                <w:rFonts w:hint="eastAsia" w:ascii="宋体" w:hAnsi="宋体" w:eastAsia="宋体" w:cs="宋体"/>
                <w:bCs/>
                <w:sz w:val="24"/>
                <w:lang w:val="en-US" w:eastAsia="zh-CN"/>
              </w:rPr>
            </w:pPr>
            <w:r>
              <w:rPr>
                <w:rFonts w:hint="eastAsia" w:ascii="宋体" w:hAnsi="宋体" w:cs="宋体"/>
                <w:bCs/>
                <w:sz w:val="24"/>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2116"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投标总报价</w:t>
            </w:r>
          </w:p>
        </w:tc>
        <w:tc>
          <w:tcPr>
            <w:tcW w:w="7239" w:type="dxa"/>
            <w:vAlign w:val="center"/>
          </w:tcPr>
          <w:p>
            <w:pPr>
              <w:spacing w:line="500" w:lineRule="exact"/>
              <w:ind w:firstLine="240" w:firstLineChars="100"/>
              <w:rPr>
                <w:rFonts w:hint="eastAsia" w:ascii="宋体" w:hAnsi="宋体" w:eastAsia="宋体" w:cs="宋体"/>
                <w:bCs/>
                <w:sz w:val="24"/>
              </w:rPr>
            </w:pPr>
            <w:r>
              <w:rPr>
                <w:rFonts w:hint="eastAsia" w:ascii="宋体" w:hAnsi="宋体" w:eastAsia="宋体" w:cs="宋体"/>
                <w:bCs/>
                <w:sz w:val="24"/>
              </w:rPr>
              <w:t>（小写）</w:t>
            </w:r>
            <w:r>
              <w:rPr>
                <w:rFonts w:hint="eastAsia" w:ascii="宋体" w:hAnsi="宋体" w:cs="宋体"/>
                <w:bCs/>
                <w:sz w:val="24"/>
                <w:u w:val="single"/>
                <w:lang w:val="en-US" w:eastAsia="zh-CN"/>
              </w:rPr>
              <w:t xml:space="preserve">       </w:t>
            </w:r>
            <w:r>
              <w:rPr>
                <w:rFonts w:hint="eastAsia" w:ascii="宋体" w:hAnsi="宋体" w:eastAsia="宋体" w:cs="宋体"/>
                <w:bCs/>
                <w:sz w:val="24"/>
              </w:rPr>
              <w:t>元</w:t>
            </w:r>
          </w:p>
          <w:p>
            <w:pPr>
              <w:spacing w:line="500" w:lineRule="exact"/>
              <w:ind w:firstLine="240" w:firstLineChars="100"/>
              <w:rPr>
                <w:rFonts w:hint="eastAsia" w:ascii="宋体" w:hAnsi="宋体" w:eastAsia="宋体" w:cs="宋体"/>
                <w:bCs/>
                <w:sz w:val="24"/>
              </w:rPr>
            </w:pPr>
            <w:r>
              <w:rPr>
                <w:rFonts w:hint="eastAsia" w:ascii="宋体" w:hAnsi="宋体" w:eastAsia="宋体" w:cs="宋体"/>
                <w:bCs/>
                <w:sz w:val="24"/>
              </w:rPr>
              <w:t>（大写）</w:t>
            </w:r>
            <w:r>
              <w:rPr>
                <w:rFonts w:hint="eastAsia" w:ascii="宋体" w:hAnsi="宋体" w:cs="宋体"/>
                <w:bCs/>
                <w:sz w:val="24"/>
                <w:u w:val="single"/>
                <w:lang w:val="en-US" w:eastAsia="zh-CN"/>
              </w:rPr>
              <w:t xml:space="preserve">       </w:t>
            </w:r>
            <w:r>
              <w:rPr>
                <w:rFonts w:hint="eastAsia" w:ascii="宋体" w:hAnsi="宋体" w:eastAsia="宋体" w:cs="宋体"/>
                <w:bCs/>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2116"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工   期</w:t>
            </w:r>
          </w:p>
        </w:tc>
        <w:tc>
          <w:tcPr>
            <w:tcW w:w="7239" w:type="dxa"/>
            <w:vAlign w:val="center"/>
          </w:tcPr>
          <w:p>
            <w:pPr>
              <w:spacing w:line="500" w:lineRule="exact"/>
              <w:ind w:firstLine="240" w:firstLineChars="100"/>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2116" w:type="dxa"/>
            <w:vAlign w:val="center"/>
          </w:tcPr>
          <w:p>
            <w:pPr>
              <w:spacing w:line="500" w:lineRule="exact"/>
              <w:jc w:val="center"/>
              <w:rPr>
                <w:rFonts w:hint="default" w:ascii="宋体" w:hAnsi="宋体" w:eastAsia="宋体" w:cs="宋体"/>
                <w:bCs/>
                <w:sz w:val="24"/>
                <w:lang w:val="en-US" w:eastAsia="zh-CN"/>
              </w:rPr>
            </w:pPr>
            <w:r>
              <w:rPr>
                <w:rFonts w:hint="eastAsia" w:ascii="宋体" w:hAnsi="宋体" w:cs="宋体"/>
                <w:bCs/>
                <w:sz w:val="24"/>
                <w:lang w:val="en-US" w:eastAsia="zh-CN"/>
              </w:rPr>
              <w:t>质量标准</w:t>
            </w:r>
          </w:p>
        </w:tc>
        <w:tc>
          <w:tcPr>
            <w:tcW w:w="7239" w:type="dxa"/>
            <w:vAlign w:val="center"/>
          </w:tcPr>
          <w:p>
            <w:pPr>
              <w:spacing w:line="500" w:lineRule="exact"/>
              <w:ind w:firstLine="241" w:firstLineChars="100"/>
              <w:rPr>
                <w:rFonts w:hint="eastAsia" w:ascii="宋体" w:hAnsi="宋体" w:eastAsia="宋体" w:cs="宋体"/>
                <w:bCs/>
                <w:sz w:val="24"/>
              </w:rPr>
            </w:pPr>
            <w:r>
              <w:rPr>
                <w:rFonts w:hint="eastAsia" w:ascii="宋体" w:hAnsi="宋体" w:eastAsia="宋体" w:cs="宋体"/>
                <w:b/>
                <w:bCs w:val="0"/>
                <w:sz w:val="24"/>
                <w:szCs w:val="20"/>
              </w:rPr>
              <w:t>必须符合现行国家质量验收</w:t>
            </w:r>
            <w:r>
              <w:rPr>
                <w:rFonts w:hint="eastAsia" w:ascii="宋体" w:hAnsi="宋体" w:eastAsia="宋体" w:cs="宋体"/>
                <w:b/>
                <w:bCs w:val="0"/>
                <w:sz w:val="24"/>
                <w:szCs w:val="20"/>
                <w:lang w:eastAsia="zh-CN"/>
              </w:rPr>
              <w:t>标准的市优标准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116" w:type="dxa"/>
            <w:vAlign w:val="center"/>
          </w:tcPr>
          <w:p>
            <w:pPr>
              <w:spacing w:line="500" w:lineRule="exact"/>
              <w:jc w:val="center"/>
              <w:rPr>
                <w:rFonts w:hint="eastAsia" w:ascii="宋体" w:hAnsi="宋体" w:eastAsia="宋体" w:cs="宋体"/>
                <w:bCs/>
                <w:sz w:val="24"/>
              </w:rPr>
            </w:pPr>
            <w:r>
              <w:rPr>
                <w:rFonts w:hint="eastAsia" w:ascii="宋体" w:hAnsi="宋体" w:cs="宋体"/>
                <w:bCs/>
                <w:sz w:val="24"/>
                <w:lang w:val="en-US" w:eastAsia="zh-CN"/>
              </w:rPr>
              <w:t>保修</w:t>
            </w:r>
            <w:r>
              <w:rPr>
                <w:rFonts w:hint="eastAsia" w:ascii="宋体" w:hAnsi="宋体" w:eastAsia="宋体" w:cs="宋体"/>
                <w:bCs/>
                <w:sz w:val="24"/>
              </w:rPr>
              <w:t>期</w:t>
            </w:r>
          </w:p>
        </w:tc>
        <w:tc>
          <w:tcPr>
            <w:tcW w:w="7239" w:type="dxa"/>
            <w:vAlign w:val="center"/>
          </w:tcPr>
          <w:p>
            <w:pPr>
              <w:spacing w:line="500" w:lineRule="exact"/>
              <w:ind w:firstLine="240" w:firstLineChars="100"/>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116" w:type="dxa"/>
            <w:vAlign w:val="center"/>
          </w:tcPr>
          <w:p>
            <w:pPr>
              <w:spacing w:line="500" w:lineRule="exact"/>
              <w:jc w:val="center"/>
              <w:rPr>
                <w:rFonts w:hint="default" w:ascii="宋体" w:hAnsi="宋体" w:cs="宋体"/>
                <w:bCs/>
                <w:sz w:val="24"/>
                <w:lang w:val="en-US" w:eastAsia="zh-CN"/>
              </w:rPr>
            </w:pPr>
            <w:r>
              <w:rPr>
                <w:rFonts w:hint="eastAsia" w:ascii="宋体" w:hAnsi="宋体" w:cs="宋体"/>
                <w:sz w:val="24"/>
              </w:rPr>
              <w:t>对招标文件响应程度</w:t>
            </w:r>
          </w:p>
        </w:tc>
        <w:tc>
          <w:tcPr>
            <w:tcW w:w="7239" w:type="dxa"/>
            <w:vAlign w:val="center"/>
          </w:tcPr>
          <w:p>
            <w:pPr>
              <w:spacing w:line="500" w:lineRule="exact"/>
              <w:ind w:firstLine="210" w:firstLineChars="100"/>
              <w:rPr>
                <w:rFonts w:hint="eastAsia" w:ascii="宋体" w:hAnsi="宋体" w:eastAsia="宋体" w:cs="宋体"/>
                <w:bCs/>
                <w:sz w:val="24"/>
              </w:rPr>
            </w:pPr>
            <w:r>
              <w:rPr>
                <w:rFonts w:hint="eastAsia" w:ascii="宋体" w:hAnsi="宋体"/>
              </w:rPr>
              <w:t>（本栏填写“完全响应”或“不响应”）</w:t>
            </w:r>
          </w:p>
        </w:tc>
      </w:tr>
    </w:tbl>
    <w:p>
      <w:pPr>
        <w:spacing w:line="700" w:lineRule="exact"/>
        <w:ind w:firstLine="240" w:firstLineChars="100"/>
        <w:rPr>
          <w:rFonts w:hint="eastAsia" w:ascii="宋体" w:hAnsi="宋体" w:eastAsia="宋体" w:cs="宋体"/>
          <w:color w:val="000000"/>
          <w:sz w:val="24"/>
        </w:rPr>
      </w:pPr>
    </w:p>
    <w:p>
      <w:pPr>
        <w:spacing w:line="70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供应商：（盖章）</w:t>
      </w:r>
    </w:p>
    <w:p>
      <w:pPr>
        <w:spacing w:line="70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法人代表或委托代理人：（签字或盖章）</w:t>
      </w:r>
    </w:p>
    <w:p>
      <w:pPr>
        <w:spacing w:line="70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lang w:val="en-US" w:eastAsia="zh-CN"/>
        </w:rPr>
        <w:t xml:space="preserve">   </w:t>
      </w:r>
      <w:r>
        <w:rPr>
          <w:rFonts w:hint="eastAsia" w:ascii="宋体" w:hAnsi="宋体" w:eastAsia="宋体" w:cs="宋体"/>
          <w:color w:val="000000"/>
          <w:sz w:val="24"/>
        </w:rPr>
        <w:t>日</w:t>
      </w:r>
    </w:p>
    <w:bookmarkEnd w:id="58"/>
    <w:bookmarkEnd w:id="59"/>
    <w:p>
      <w:pPr>
        <w:rPr>
          <w:rFonts w:hint="eastAsia" w:ascii="宋体" w:hAnsi="宋体" w:eastAsia="宋体" w:cs="宋体"/>
          <w:b/>
          <w:kern w:val="0"/>
          <w:sz w:val="24"/>
        </w:rPr>
      </w:pPr>
    </w:p>
    <w:p>
      <w:pPr>
        <w:rPr>
          <w:rFonts w:hint="eastAsia" w:ascii="宋体" w:hAnsi="宋体" w:eastAsia="宋体" w:cs="宋体"/>
          <w:bCs/>
          <w:sz w:val="24"/>
        </w:rPr>
      </w:pPr>
      <w:r>
        <w:rPr>
          <w:rFonts w:hint="eastAsia" w:ascii="宋体" w:hAnsi="宋体" w:eastAsia="宋体" w:cs="宋体"/>
          <w:bCs/>
          <w:sz w:val="24"/>
        </w:rPr>
        <w:br w:type="page"/>
      </w:r>
    </w:p>
    <w:p>
      <w:pPr>
        <w:rPr>
          <w:rFonts w:hint="eastAsia" w:ascii="宋体" w:hAnsi="宋体" w:eastAsia="宋体" w:cs="宋体"/>
          <w:sz w:val="24"/>
        </w:rPr>
      </w:pPr>
      <w:r>
        <w:rPr>
          <w:rFonts w:hint="eastAsia" w:ascii="宋体" w:hAnsi="宋体" w:eastAsia="宋体" w:cs="宋体"/>
          <w:bCs/>
          <w:sz w:val="24"/>
        </w:rPr>
        <w:t>附件四</w:t>
      </w:r>
      <w:r>
        <w:rPr>
          <w:rFonts w:hint="eastAsia" w:ascii="宋体" w:hAnsi="宋体" w:eastAsia="宋体" w:cs="宋体"/>
          <w:sz w:val="24"/>
        </w:rPr>
        <w:t>：</w:t>
      </w:r>
    </w:p>
    <w:p>
      <w:pPr>
        <w:keepNext/>
        <w:keepLines/>
        <w:tabs>
          <w:tab w:val="left" w:pos="1260"/>
        </w:tabs>
        <w:spacing w:line="700" w:lineRule="exact"/>
        <w:ind w:firstLine="562" w:firstLineChars="200"/>
        <w:jc w:val="center"/>
        <w:outlineLvl w:val="1"/>
        <w:rPr>
          <w:rFonts w:hint="eastAsia" w:ascii="宋体" w:hAnsi="宋体" w:eastAsia="宋体" w:cs="宋体"/>
          <w:b/>
          <w:sz w:val="28"/>
          <w:szCs w:val="28"/>
        </w:rPr>
      </w:pPr>
      <w:bookmarkStart w:id="60" w:name="_Toc76741799"/>
      <w:r>
        <w:rPr>
          <w:rFonts w:hint="eastAsia" w:ascii="宋体" w:hAnsi="宋体" w:cs="宋体"/>
          <w:b/>
          <w:sz w:val="28"/>
          <w:szCs w:val="28"/>
          <w:lang w:val="en-US" w:eastAsia="zh-CN"/>
        </w:rPr>
        <w:t xml:space="preserve"> </w:t>
      </w:r>
      <w:r>
        <w:rPr>
          <w:rFonts w:hint="eastAsia" w:ascii="宋体" w:hAnsi="宋体" w:eastAsia="宋体" w:cs="宋体"/>
          <w:b/>
          <w:sz w:val="28"/>
          <w:szCs w:val="28"/>
        </w:rPr>
        <w:t>供应商基本情况表</w:t>
      </w:r>
      <w:bookmarkEnd w:id="60"/>
    </w:p>
    <w:tbl>
      <w:tblPr>
        <w:tblStyle w:val="32"/>
        <w:tblW w:w="9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98"/>
        <w:gridCol w:w="1968"/>
        <w:gridCol w:w="569"/>
        <w:gridCol w:w="150"/>
        <w:gridCol w:w="1248"/>
        <w:gridCol w:w="558"/>
        <w:gridCol w:w="91"/>
        <w:gridCol w:w="977"/>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供应商名称</w:t>
            </w:r>
          </w:p>
        </w:tc>
        <w:tc>
          <w:tcPr>
            <w:tcW w:w="2885" w:type="dxa"/>
            <w:gridSpan w:val="4"/>
            <w:vAlign w:val="center"/>
          </w:tcPr>
          <w:p>
            <w:pPr>
              <w:spacing w:line="500" w:lineRule="exact"/>
              <w:jc w:val="center"/>
              <w:rPr>
                <w:rFonts w:hint="eastAsia" w:ascii="宋体" w:hAnsi="宋体" w:eastAsia="宋体" w:cs="宋体"/>
                <w:sz w:val="24"/>
              </w:rPr>
            </w:pPr>
          </w:p>
        </w:tc>
        <w:tc>
          <w:tcPr>
            <w:tcW w:w="1806" w:type="dxa"/>
            <w:gridSpan w:val="2"/>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主要业务</w:t>
            </w:r>
          </w:p>
        </w:tc>
        <w:tc>
          <w:tcPr>
            <w:tcW w:w="2866" w:type="dxa"/>
            <w:gridSpan w:val="3"/>
            <w:vAlign w:val="center"/>
          </w:tcPr>
          <w:p>
            <w:pPr>
              <w:spacing w:line="5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注册资金</w:t>
            </w:r>
          </w:p>
        </w:tc>
        <w:tc>
          <w:tcPr>
            <w:tcW w:w="2885" w:type="dxa"/>
            <w:gridSpan w:val="4"/>
            <w:vAlign w:val="center"/>
          </w:tcPr>
          <w:p>
            <w:pPr>
              <w:spacing w:line="500" w:lineRule="exact"/>
              <w:jc w:val="center"/>
              <w:rPr>
                <w:rFonts w:hint="eastAsia" w:ascii="宋体" w:hAnsi="宋体" w:eastAsia="宋体" w:cs="宋体"/>
                <w:bCs/>
                <w:sz w:val="24"/>
              </w:rPr>
            </w:pPr>
          </w:p>
        </w:tc>
        <w:tc>
          <w:tcPr>
            <w:tcW w:w="1806" w:type="dxa"/>
            <w:gridSpan w:val="2"/>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现有职工人数</w:t>
            </w:r>
          </w:p>
        </w:tc>
        <w:tc>
          <w:tcPr>
            <w:tcW w:w="2866" w:type="dxa"/>
            <w:gridSpan w:val="3"/>
            <w:vAlign w:val="center"/>
          </w:tcPr>
          <w:p>
            <w:pPr>
              <w:spacing w:line="5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bCs/>
                <w:sz w:val="24"/>
              </w:rPr>
            </w:pPr>
            <w:r>
              <w:rPr>
                <w:rFonts w:hint="eastAsia" w:ascii="宋体" w:hAnsi="宋体" w:eastAsia="宋体" w:cs="宋体"/>
                <w:sz w:val="24"/>
              </w:rPr>
              <w:t>行政管理人数</w:t>
            </w:r>
          </w:p>
        </w:tc>
        <w:tc>
          <w:tcPr>
            <w:tcW w:w="2885" w:type="dxa"/>
            <w:gridSpan w:val="4"/>
            <w:vAlign w:val="center"/>
          </w:tcPr>
          <w:p>
            <w:pPr>
              <w:spacing w:line="500" w:lineRule="exact"/>
              <w:jc w:val="center"/>
              <w:rPr>
                <w:rFonts w:hint="eastAsia" w:ascii="宋体" w:hAnsi="宋体" w:eastAsia="宋体" w:cs="宋体"/>
                <w:bCs/>
                <w:sz w:val="24"/>
              </w:rPr>
            </w:pPr>
          </w:p>
        </w:tc>
        <w:tc>
          <w:tcPr>
            <w:tcW w:w="1806" w:type="dxa"/>
            <w:gridSpan w:val="2"/>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技术人员人数</w:t>
            </w:r>
          </w:p>
        </w:tc>
        <w:tc>
          <w:tcPr>
            <w:tcW w:w="2866" w:type="dxa"/>
            <w:gridSpan w:val="3"/>
            <w:vAlign w:val="center"/>
          </w:tcPr>
          <w:p>
            <w:pPr>
              <w:spacing w:line="5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400" w:lineRule="exact"/>
              <w:jc w:val="center"/>
              <w:rPr>
                <w:rFonts w:hint="eastAsia" w:ascii="宋体" w:hAnsi="宋体" w:eastAsia="宋体" w:cs="宋体"/>
                <w:bCs/>
                <w:sz w:val="24"/>
              </w:rPr>
            </w:pPr>
            <w:r>
              <w:rPr>
                <w:rFonts w:hint="eastAsia" w:ascii="宋体" w:hAnsi="宋体" w:eastAsia="宋体" w:cs="宋体"/>
                <w:bCs/>
                <w:sz w:val="24"/>
              </w:rPr>
              <w:t>营业执照</w:t>
            </w:r>
            <w:r>
              <w:rPr>
                <w:rFonts w:hint="eastAsia" w:ascii="宋体" w:hAnsi="宋体" w:eastAsia="宋体" w:cs="宋体"/>
                <w:sz w:val="24"/>
              </w:rPr>
              <w:t>或事业单位法人证书</w:t>
            </w:r>
          </w:p>
        </w:tc>
        <w:tc>
          <w:tcPr>
            <w:tcW w:w="7557" w:type="dxa"/>
            <w:gridSpan w:val="9"/>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1.执照编号   2.营业范围   3.发照部门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单位资质</w:t>
            </w:r>
          </w:p>
        </w:tc>
        <w:tc>
          <w:tcPr>
            <w:tcW w:w="7557" w:type="dxa"/>
            <w:gridSpan w:val="9"/>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1.执照编号   2.资质等级   3.发证部门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单位注册地址</w:t>
            </w:r>
          </w:p>
        </w:tc>
        <w:tc>
          <w:tcPr>
            <w:tcW w:w="2735" w:type="dxa"/>
            <w:gridSpan w:val="3"/>
            <w:vAlign w:val="center"/>
          </w:tcPr>
          <w:p>
            <w:pPr>
              <w:spacing w:line="500" w:lineRule="exact"/>
              <w:jc w:val="center"/>
              <w:rPr>
                <w:rFonts w:hint="eastAsia" w:ascii="宋体" w:hAnsi="宋体" w:eastAsia="宋体" w:cs="宋体"/>
                <w:bCs/>
                <w:sz w:val="24"/>
              </w:rPr>
            </w:pPr>
          </w:p>
        </w:tc>
        <w:tc>
          <w:tcPr>
            <w:tcW w:w="2047" w:type="dxa"/>
            <w:gridSpan w:val="4"/>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单位联系人</w:t>
            </w:r>
          </w:p>
          <w:p>
            <w:pPr>
              <w:spacing w:line="500" w:lineRule="exact"/>
              <w:ind w:firstLine="360" w:firstLineChars="150"/>
              <w:rPr>
                <w:rFonts w:hint="eastAsia" w:ascii="宋体" w:hAnsi="宋体" w:eastAsia="宋体" w:cs="宋体"/>
                <w:bCs/>
                <w:sz w:val="24"/>
              </w:rPr>
            </w:pPr>
            <w:r>
              <w:rPr>
                <w:rFonts w:hint="eastAsia" w:ascii="宋体" w:hAnsi="宋体" w:eastAsia="宋体" w:cs="宋体"/>
                <w:bCs/>
                <w:sz w:val="24"/>
              </w:rPr>
              <w:t>联系方式</w:t>
            </w:r>
          </w:p>
        </w:tc>
        <w:tc>
          <w:tcPr>
            <w:tcW w:w="2775" w:type="dxa"/>
            <w:gridSpan w:val="2"/>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（电话、传真、邮址）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单位成立时间</w:t>
            </w:r>
          </w:p>
        </w:tc>
        <w:tc>
          <w:tcPr>
            <w:tcW w:w="7557" w:type="dxa"/>
            <w:gridSpan w:val="9"/>
            <w:vAlign w:val="center"/>
          </w:tcPr>
          <w:p>
            <w:pPr>
              <w:spacing w:line="500" w:lineRule="exact"/>
              <w:jc w:val="center"/>
              <w:rPr>
                <w:rFonts w:hint="eastAsia"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772"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开户银行</w:t>
            </w:r>
          </w:p>
        </w:tc>
        <w:tc>
          <w:tcPr>
            <w:tcW w:w="7557" w:type="dxa"/>
            <w:gridSpan w:val="9"/>
            <w:vAlign w:val="center"/>
          </w:tcPr>
          <w:p>
            <w:pPr>
              <w:spacing w:line="500" w:lineRule="exact"/>
              <w:jc w:val="center"/>
              <w:rPr>
                <w:rFonts w:hint="eastAsia" w:ascii="宋体" w:hAnsi="宋体" w:eastAsia="宋体" w:cs="宋体"/>
                <w:sz w:val="24"/>
              </w:rPr>
            </w:pPr>
            <w:r>
              <w:rPr>
                <w:rFonts w:hint="eastAsia" w:ascii="宋体" w:hAnsi="宋体" w:eastAsia="宋体" w:cs="宋体"/>
                <w:bCs/>
                <w:sz w:val="24"/>
              </w:rPr>
              <w:t>开户行、开户名称、银行帐号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9329" w:type="dxa"/>
            <w:gridSpan w:val="10"/>
            <w:vAlign w:val="center"/>
          </w:tcPr>
          <w:p>
            <w:pPr>
              <w:spacing w:line="500" w:lineRule="exact"/>
              <w:jc w:val="center"/>
              <w:rPr>
                <w:rFonts w:hint="eastAsia" w:ascii="宋体" w:hAnsi="宋体" w:eastAsia="宋体" w:cs="宋体"/>
                <w:sz w:val="24"/>
              </w:rPr>
            </w:pPr>
            <w:r>
              <w:rPr>
                <w:rFonts w:hint="eastAsia" w:ascii="宋体" w:hAnsi="宋体" w:eastAsia="宋体" w:cs="宋体"/>
                <w:sz w:val="24"/>
              </w:rPr>
              <w:t>经营场所或售后服务机构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70" w:type="dxa"/>
            <w:gridSpan w:val="2"/>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机构名称</w:t>
            </w:r>
          </w:p>
        </w:tc>
        <w:tc>
          <w:tcPr>
            <w:tcW w:w="1968"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注册地址</w:t>
            </w:r>
          </w:p>
        </w:tc>
        <w:tc>
          <w:tcPr>
            <w:tcW w:w="1967" w:type="dxa"/>
            <w:gridSpan w:val="3"/>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联系人</w:t>
            </w:r>
          </w:p>
        </w:tc>
        <w:tc>
          <w:tcPr>
            <w:tcW w:w="1626" w:type="dxa"/>
            <w:gridSpan w:val="3"/>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联络方式</w:t>
            </w:r>
          </w:p>
        </w:tc>
        <w:tc>
          <w:tcPr>
            <w:tcW w:w="1798" w:type="dxa"/>
            <w:vAlign w:val="center"/>
          </w:tcPr>
          <w:p>
            <w:pPr>
              <w:spacing w:line="500" w:lineRule="exact"/>
              <w:jc w:val="center"/>
              <w:rPr>
                <w:rFonts w:hint="eastAsia" w:ascii="宋体" w:hAnsi="宋体" w:eastAsia="宋体" w:cs="宋体"/>
                <w:bCs/>
                <w:sz w:val="24"/>
              </w:rPr>
            </w:pPr>
            <w:r>
              <w:rPr>
                <w:rFonts w:hint="eastAsia" w:ascii="宋体" w:hAnsi="宋体" w:eastAsia="宋体" w:cs="宋体"/>
                <w:bCs/>
                <w:sz w:val="24"/>
              </w:rPr>
              <w:t>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70" w:type="dxa"/>
            <w:gridSpan w:val="2"/>
            <w:vAlign w:val="center"/>
          </w:tcPr>
          <w:p>
            <w:pPr>
              <w:spacing w:line="500" w:lineRule="exact"/>
              <w:jc w:val="center"/>
              <w:rPr>
                <w:rFonts w:hint="eastAsia" w:ascii="宋体" w:hAnsi="宋体" w:eastAsia="宋体" w:cs="宋体"/>
                <w:sz w:val="24"/>
              </w:rPr>
            </w:pPr>
          </w:p>
        </w:tc>
        <w:tc>
          <w:tcPr>
            <w:tcW w:w="1968" w:type="dxa"/>
            <w:vAlign w:val="center"/>
          </w:tcPr>
          <w:p>
            <w:pPr>
              <w:spacing w:line="500" w:lineRule="exact"/>
              <w:jc w:val="center"/>
              <w:rPr>
                <w:rFonts w:hint="eastAsia" w:ascii="宋体" w:hAnsi="宋体" w:eastAsia="宋体" w:cs="宋体"/>
                <w:sz w:val="24"/>
              </w:rPr>
            </w:pPr>
          </w:p>
        </w:tc>
        <w:tc>
          <w:tcPr>
            <w:tcW w:w="1967" w:type="dxa"/>
            <w:gridSpan w:val="3"/>
            <w:vAlign w:val="center"/>
          </w:tcPr>
          <w:p>
            <w:pPr>
              <w:spacing w:line="500" w:lineRule="exact"/>
              <w:jc w:val="center"/>
              <w:rPr>
                <w:rFonts w:hint="eastAsia" w:ascii="宋体" w:hAnsi="宋体" w:eastAsia="宋体" w:cs="宋体"/>
                <w:sz w:val="24"/>
              </w:rPr>
            </w:pPr>
          </w:p>
        </w:tc>
        <w:tc>
          <w:tcPr>
            <w:tcW w:w="1626" w:type="dxa"/>
            <w:gridSpan w:val="3"/>
            <w:vAlign w:val="center"/>
          </w:tcPr>
          <w:p>
            <w:pPr>
              <w:spacing w:line="500" w:lineRule="exact"/>
              <w:jc w:val="center"/>
              <w:rPr>
                <w:rFonts w:hint="eastAsia" w:ascii="宋体" w:hAnsi="宋体" w:eastAsia="宋体" w:cs="宋体"/>
                <w:sz w:val="24"/>
              </w:rPr>
            </w:pPr>
          </w:p>
        </w:tc>
        <w:tc>
          <w:tcPr>
            <w:tcW w:w="1798" w:type="dxa"/>
            <w:vAlign w:val="center"/>
          </w:tcPr>
          <w:p>
            <w:pPr>
              <w:spacing w:line="5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970" w:type="dxa"/>
            <w:gridSpan w:val="2"/>
            <w:vAlign w:val="center"/>
          </w:tcPr>
          <w:p>
            <w:pPr>
              <w:spacing w:line="500" w:lineRule="exact"/>
              <w:jc w:val="center"/>
              <w:rPr>
                <w:rFonts w:hint="eastAsia" w:ascii="宋体" w:hAnsi="宋体" w:eastAsia="宋体" w:cs="宋体"/>
                <w:sz w:val="24"/>
              </w:rPr>
            </w:pPr>
          </w:p>
        </w:tc>
        <w:tc>
          <w:tcPr>
            <w:tcW w:w="1968" w:type="dxa"/>
            <w:vAlign w:val="center"/>
          </w:tcPr>
          <w:p>
            <w:pPr>
              <w:spacing w:line="500" w:lineRule="exact"/>
              <w:jc w:val="center"/>
              <w:rPr>
                <w:rFonts w:hint="eastAsia" w:ascii="宋体" w:hAnsi="宋体" w:eastAsia="宋体" w:cs="宋体"/>
                <w:sz w:val="24"/>
              </w:rPr>
            </w:pPr>
          </w:p>
        </w:tc>
        <w:tc>
          <w:tcPr>
            <w:tcW w:w="1967" w:type="dxa"/>
            <w:gridSpan w:val="3"/>
            <w:vAlign w:val="center"/>
          </w:tcPr>
          <w:p>
            <w:pPr>
              <w:spacing w:line="500" w:lineRule="exact"/>
              <w:jc w:val="center"/>
              <w:rPr>
                <w:rFonts w:hint="eastAsia" w:ascii="宋体" w:hAnsi="宋体" w:eastAsia="宋体" w:cs="宋体"/>
                <w:sz w:val="24"/>
              </w:rPr>
            </w:pPr>
          </w:p>
        </w:tc>
        <w:tc>
          <w:tcPr>
            <w:tcW w:w="1626" w:type="dxa"/>
            <w:gridSpan w:val="3"/>
            <w:vAlign w:val="center"/>
          </w:tcPr>
          <w:p>
            <w:pPr>
              <w:spacing w:line="500" w:lineRule="exact"/>
              <w:jc w:val="center"/>
              <w:rPr>
                <w:rFonts w:hint="eastAsia" w:ascii="宋体" w:hAnsi="宋体" w:eastAsia="宋体" w:cs="宋体"/>
                <w:sz w:val="24"/>
              </w:rPr>
            </w:pPr>
          </w:p>
        </w:tc>
        <w:tc>
          <w:tcPr>
            <w:tcW w:w="1798" w:type="dxa"/>
            <w:vAlign w:val="center"/>
          </w:tcPr>
          <w:p>
            <w:pPr>
              <w:spacing w:line="500" w:lineRule="exact"/>
              <w:jc w:val="center"/>
              <w:rPr>
                <w:rFonts w:hint="eastAsia" w:ascii="宋体" w:hAnsi="宋体" w:eastAsia="宋体" w:cs="宋体"/>
                <w:sz w:val="24"/>
              </w:rPr>
            </w:pPr>
          </w:p>
        </w:tc>
      </w:tr>
    </w:tbl>
    <w:p>
      <w:pPr>
        <w:spacing w:line="500" w:lineRule="exact"/>
        <w:rPr>
          <w:rFonts w:hint="eastAsia" w:ascii="宋体" w:hAnsi="宋体" w:eastAsia="宋体" w:cs="宋体"/>
          <w:sz w:val="24"/>
        </w:rPr>
      </w:pPr>
    </w:p>
    <w:p>
      <w:pPr>
        <w:spacing w:line="70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供应商：（盖章）</w:t>
      </w:r>
    </w:p>
    <w:p>
      <w:pPr>
        <w:spacing w:line="70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法人代表或委托代理人：（签字或盖章）</w:t>
      </w:r>
    </w:p>
    <w:p>
      <w:pPr>
        <w:spacing w:line="700" w:lineRule="exact"/>
        <w:ind w:firstLine="240" w:firstLineChars="100"/>
        <w:rPr>
          <w:rFonts w:hint="eastAsia" w:ascii="宋体" w:hAnsi="宋体" w:eastAsia="宋体" w:cs="宋体"/>
          <w:color w:val="000000"/>
          <w:sz w:val="24"/>
        </w:rPr>
      </w:pPr>
      <w:r>
        <w:rPr>
          <w:rFonts w:hint="eastAsia" w:ascii="宋体" w:hAnsi="宋体" w:eastAsia="宋体" w:cs="宋体"/>
          <w:color w:val="000000"/>
          <w:sz w:val="24"/>
        </w:rPr>
        <w:t>日   期：年月日</w:t>
      </w:r>
    </w:p>
    <w:p>
      <w:pPr>
        <w:spacing w:line="440" w:lineRule="exact"/>
        <w:rPr>
          <w:rFonts w:hint="eastAsia" w:ascii="宋体" w:hAnsi="宋体" w:eastAsia="宋体" w:cs="宋体"/>
          <w:bCs/>
          <w:sz w:val="24"/>
          <w:szCs w:val="20"/>
        </w:rPr>
      </w:pPr>
    </w:p>
    <w:p>
      <w:pPr>
        <w:spacing w:line="440" w:lineRule="exact"/>
        <w:rPr>
          <w:rFonts w:hint="eastAsia" w:ascii="宋体" w:hAnsi="宋体" w:eastAsia="宋体" w:cs="宋体"/>
          <w:bCs/>
          <w:sz w:val="24"/>
          <w:szCs w:val="20"/>
        </w:rPr>
      </w:pPr>
      <w:r>
        <w:rPr>
          <w:rFonts w:hint="eastAsia" w:ascii="宋体" w:hAnsi="宋体" w:eastAsia="宋体" w:cs="宋体"/>
          <w:bCs/>
          <w:sz w:val="24"/>
          <w:szCs w:val="20"/>
        </w:rPr>
        <w:t>附件五：</w:t>
      </w:r>
    </w:p>
    <w:p>
      <w:pPr>
        <w:spacing w:before="120" w:after="120" w:line="440" w:lineRule="exact"/>
        <w:jc w:val="center"/>
        <w:outlineLvl w:val="0"/>
        <w:rPr>
          <w:rFonts w:hint="eastAsia" w:ascii="宋体" w:hAnsi="宋体" w:eastAsia="宋体" w:cs="宋体"/>
          <w:b/>
          <w:sz w:val="32"/>
          <w:szCs w:val="32"/>
        </w:rPr>
      </w:pPr>
      <w:bookmarkStart w:id="61" w:name="_Toc29819"/>
      <w:bookmarkStart w:id="62" w:name="_Toc76741800"/>
      <w:r>
        <w:rPr>
          <w:rFonts w:hint="eastAsia" w:ascii="宋体" w:hAnsi="宋体" w:cs="宋体"/>
          <w:b/>
          <w:sz w:val="32"/>
          <w:szCs w:val="32"/>
          <w:lang w:val="en-US" w:eastAsia="zh-CN"/>
        </w:rPr>
        <w:t xml:space="preserve"> </w:t>
      </w:r>
      <w:r>
        <w:rPr>
          <w:rFonts w:hint="eastAsia" w:ascii="宋体" w:hAnsi="宋体" w:eastAsia="宋体" w:cs="宋体"/>
          <w:b/>
          <w:sz w:val="32"/>
          <w:szCs w:val="32"/>
        </w:rPr>
        <w:t>拟承建本项目注册建造师</w:t>
      </w:r>
      <w:bookmarkEnd w:id="61"/>
      <w:r>
        <w:rPr>
          <w:rFonts w:hint="eastAsia" w:ascii="宋体" w:hAnsi="宋体" w:eastAsia="宋体" w:cs="宋体"/>
          <w:b/>
          <w:sz w:val="32"/>
          <w:szCs w:val="32"/>
        </w:rPr>
        <w:t>简历表</w:t>
      </w:r>
      <w:bookmarkEnd w:id="62"/>
    </w:p>
    <w:tbl>
      <w:tblPr>
        <w:tblStyle w:val="3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247"/>
        <w:gridCol w:w="1013"/>
        <w:gridCol w:w="501"/>
        <w:gridCol w:w="759"/>
        <w:gridCol w:w="753"/>
        <w:gridCol w:w="903"/>
        <w:gridCol w:w="1514"/>
        <w:gridCol w:w="4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1507"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姓名</w:t>
            </w:r>
          </w:p>
        </w:tc>
        <w:tc>
          <w:tcPr>
            <w:tcW w:w="1514" w:type="dxa"/>
            <w:gridSpan w:val="2"/>
            <w:vAlign w:val="center"/>
          </w:tcPr>
          <w:p>
            <w:pPr>
              <w:spacing w:line="360" w:lineRule="auto"/>
              <w:jc w:val="center"/>
              <w:rPr>
                <w:rFonts w:hint="eastAsia" w:ascii="宋体" w:hAnsi="宋体" w:eastAsia="宋体" w:cs="宋体"/>
                <w:szCs w:val="20"/>
              </w:rPr>
            </w:pPr>
          </w:p>
        </w:tc>
        <w:tc>
          <w:tcPr>
            <w:tcW w:w="1512"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性别</w:t>
            </w:r>
          </w:p>
        </w:tc>
        <w:tc>
          <w:tcPr>
            <w:tcW w:w="903" w:type="dxa"/>
            <w:vAlign w:val="center"/>
          </w:tcPr>
          <w:p>
            <w:pPr>
              <w:spacing w:line="360" w:lineRule="auto"/>
              <w:jc w:val="center"/>
              <w:rPr>
                <w:rFonts w:hint="eastAsia" w:ascii="宋体" w:hAnsi="宋体" w:eastAsia="宋体" w:cs="宋体"/>
                <w:szCs w:val="20"/>
              </w:rPr>
            </w:pPr>
          </w:p>
        </w:tc>
        <w:tc>
          <w:tcPr>
            <w:tcW w:w="1514" w:type="dxa"/>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年龄</w:t>
            </w:r>
          </w:p>
        </w:tc>
        <w:tc>
          <w:tcPr>
            <w:tcW w:w="2050" w:type="dxa"/>
            <w:gridSpan w:val="2"/>
            <w:vAlign w:val="center"/>
          </w:tcPr>
          <w:p>
            <w:pPr>
              <w:spacing w:line="360" w:lineRule="auto"/>
              <w:jc w:val="center"/>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507"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职务</w:t>
            </w:r>
          </w:p>
        </w:tc>
        <w:tc>
          <w:tcPr>
            <w:tcW w:w="1514" w:type="dxa"/>
            <w:gridSpan w:val="2"/>
            <w:vAlign w:val="center"/>
          </w:tcPr>
          <w:p>
            <w:pPr>
              <w:spacing w:line="360" w:lineRule="auto"/>
              <w:jc w:val="center"/>
              <w:rPr>
                <w:rFonts w:hint="eastAsia" w:ascii="宋体" w:hAnsi="宋体" w:eastAsia="宋体" w:cs="宋体"/>
                <w:szCs w:val="20"/>
              </w:rPr>
            </w:pPr>
          </w:p>
        </w:tc>
        <w:tc>
          <w:tcPr>
            <w:tcW w:w="1512"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职称</w:t>
            </w:r>
          </w:p>
        </w:tc>
        <w:tc>
          <w:tcPr>
            <w:tcW w:w="903" w:type="dxa"/>
            <w:vAlign w:val="center"/>
          </w:tcPr>
          <w:p>
            <w:pPr>
              <w:spacing w:line="360" w:lineRule="auto"/>
              <w:jc w:val="center"/>
              <w:rPr>
                <w:rFonts w:hint="eastAsia" w:ascii="宋体" w:hAnsi="宋体" w:eastAsia="宋体" w:cs="宋体"/>
                <w:szCs w:val="20"/>
              </w:rPr>
            </w:pPr>
          </w:p>
        </w:tc>
        <w:tc>
          <w:tcPr>
            <w:tcW w:w="1514" w:type="dxa"/>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学历</w:t>
            </w:r>
          </w:p>
        </w:tc>
        <w:tc>
          <w:tcPr>
            <w:tcW w:w="2050" w:type="dxa"/>
            <w:gridSpan w:val="2"/>
            <w:vAlign w:val="center"/>
          </w:tcPr>
          <w:p>
            <w:pPr>
              <w:spacing w:line="360" w:lineRule="auto"/>
              <w:jc w:val="center"/>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507"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参加工作</w:t>
            </w:r>
          </w:p>
          <w:p>
            <w:pPr>
              <w:spacing w:line="360" w:lineRule="auto"/>
              <w:jc w:val="center"/>
              <w:rPr>
                <w:rFonts w:hint="eastAsia" w:ascii="宋体" w:hAnsi="宋体" w:eastAsia="宋体" w:cs="宋体"/>
                <w:szCs w:val="20"/>
              </w:rPr>
            </w:pPr>
            <w:r>
              <w:rPr>
                <w:rFonts w:hint="eastAsia" w:ascii="宋体" w:hAnsi="宋体" w:eastAsia="宋体" w:cs="宋体"/>
                <w:szCs w:val="20"/>
              </w:rPr>
              <w:t>时间</w:t>
            </w:r>
          </w:p>
        </w:tc>
        <w:tc>
          <w:tcPr>
            <w:tcW w:w="1514" w:type="dxa"/>
            <w:gridSpan w:val="2"/>
            <w:vAlign w:val="center"/>
          </w:tcPr>
          <w:p>
            <w:pPr>
              <w:spacing w:line="360" w:lineRule="auto"/>
              <w:jc w:val="center"/>
              <w:rPr>
                <w:rFonts w:hint="eastAsia" w:ascii="宋体" w:hAnsi="宋体" w:eastAsia="宋体" w:cs="宋体"/>
                <w:szCs w:val="20"/>
              </w:rPr>
            </w:pPr>
          </w:p>
        </w:tc>
        <w:tc>
          <w:tcPr>
            <w:tcW w:w="1512"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担任注册建造师年限</w:t>
            </w:r>
          </w:p>
        </w:tc>
        <w:tc>
          <w:tcPr>
            <w:tcW w:w="903" w:type="dxa"/>
            <w:vAlign w:val="center"/>
          </w:tcPr>
          <w:p>
            <w:pPr>
              <w:spacing w:line="360" w:lineRule="auto"/>
              <w:jc w:val="center"/>
              <w:rPr>
                <w:rFonts w:hint="eastAsia" w:ascii="宋体" w:hAnsi="宋体" w:eastAsia="宋体" w:cs="宋体"/>
                <w:szCs w:val="20"/>
              </w:rPr>
            </w:pPr>
          </w:p>
        </w:tc>
        <w:tc>
          <w:tcPr>
            <w:tcW w:w="1514" w:type="dxa"/>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注册建造师</w:t>
            </w:r>
          </w:p>
          <w:p>
            <w:pPr>
              <w:spacing w:line="360" w:lineRule="auto"/>
              <w:jc w:val="center"/>
              <w:rPr>
                <w:rFonts w:hint="eastAsia" w:ascii="宋体" w:hAnsi="宋体" w:eastAsia="宋体" w:cs="宋体"/>
                <w:szCs w:val="20"/>
              </w:rPr>
            </w:pPr>
            <w:r>
              <w:rPr>
                <w:rFonts w:hint="eastAsia" w:ascii="宋体" w:hAnsi="宋体" w:eastAsia="宋体" w:cs="宋体"/>
                <w:szCs w:val="20"/>
              </w:rPr>
              <w:t>资格证书编号</w:t>
            </w:r>
          </w:p>
        </w:tc>
        <w:tc>
          <w:tcPr>
            <w:tcW w:w="2050" w:type="dxa"/>
            <w:gridSpan w:val="2"/>
            <w:vAlign w:val="center"/>
          </w:tcPr>
          <w:p>
            <w:pPr>
              <w:spacing w:line="360" w:lineRule="auto"/>
              <w:jc w:val="center"/>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9000" w:type="dxa"/>
            <w:gridSpan w:val="10"/>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已竣工项目情况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1260" w:type="dxa"/>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建设单位</w:t>
            </w:r>
          </w:p>
        </w:tc>
        <w:tc>
          <w:tcPr>
            <w:tcW w:w="1260"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项目名称</w:t>
            </w:r>
          </w:p>
        </w:tc>
        <w:tc>
          <w:tcPr>
            <w:tcW w:w="1260"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建设规模</w:t>
            </w:r>
          </w:p>
        </w:tc>
        <w:tc>
          <w:tcPr>
            <w:tcW w:w="1656"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开、竣工日期</w:t>
            </w:r>
          </w:p>
        </w:tc>
        <w:tc>
          <w:tcPr>
            <w:tcW w:w="1944" w:type="dxa"/>
            <w:gridSpan w:val="2"/>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发包方联系人</w:t>
            </w:r>
          </w:p>
          <w:p>
            <w:pPr>
              <w:spacing w:line="360" w:lineRule="auto"/>
              <w:jc w:val="center"/>
              <w:rPr>
                <w:rFonts w:hint="eastAsia" w:ascii="宋体" w:hAnsi="宋体" w:eastAsia="宋体" w:cs="宋体"/>
                <w:szCs w:val="20"/>
              </w:rPr>
            </w:pPr>
            <w:r>
              <w:rPr>
                <w:rFonts w:hint="eastAsia" w:ascii="宋体" w:hAnsi="宋体" w:eastAsia="宋体" w:cs="宋体"/>
                <w:szCs w:val="20"/>
              </w:rPr>
              <w:t>及联系电话</w:t>
            </w:r>
          </w:p>
        </w:tc>
        <w:tc>
          <w:tcPr>
            <w:tcW w:w="1620" w:type="dxa"/>
            <w:vAlign w:val="center"/>
          </w:tcPr>
          <w:p>
            <w:pPr>
              <w:spacing w:line="360" w:lineRule="auto"/>
              <w:jc w:val="center"/>
              <w:rPr>
                <w:rFonts w:hint="eastAsia" w:ascii="宋体" w:hAnsi="宋体" w:eastAsia="宋体" w:cs="宋体"/>
                <w:szCs w:val="20"/>
              </w:rPr>
            </w:pPr>
            <w:r>
              <w:rPr>
                <w:rFonts w:hint="eastAsia" w:ascii="宋体" w:hAnsi="宋体" w:eastAsia="宋体" w:cs="宋体"/>
                <w:szCs w:val="20"/>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260" w:type="dxa"/>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260" w:type="dxa"/>
            <w:gridSpan w:val="2"/>
            <w:vAlign w:val="center"/>
          </w:tcPr>
          <w:p>
            <w:pPr>
              <w:spacing w:line="360" w:lineRule="auto"/>
              <w:rPr>
                <w:rFonts w:hint="eastAsia" w:ascii="宋体" w:hAnsi="宋体" w:eastAsia="宋体" w:cs="宋体"/>
                <w:szCs w:val="20"/>
              </w:rPr>
            </w:pPr>
          </w:p>
        </w:tc>
        <w:tc>
          <w:tcPr>
            <w:tcW w:w="1656" w:type="dxa"/>
            <w:gridSpan w:val="2"/>
            <w:vAlign w:val="center"/>
          </w:tcPr>
          <w:p>
            <w:pPr>
              <w:spacing w:line="360" w:lineRule="auto"/>
              <w:rPr>
                <w:rFonts w:hint="eastAsia" w:ascii="宋体" w:hAnsi="宋体" w:eastAsia="宋体" w:cs="宋体"/>
                <w:szCs w:val="20"/>
              </w:rPr>
            </w:pPr>
          </w:p>
        </w:tc>
        <w:tc>
          <w:tcPr>
            <w:tcW w:w="1944" w:type="dxa"/>
            <w:gridSpan w:val="2"/>
            <w:vAlign w:val="center"/>
          </w:tcPr>
          <w:p>
            <w:pPr>
              <w:spacing w:line="360" w:lineRule="auto"/>
              <w:rPr>
                <w:rFonts w:hint="eastAsia" w:ascii="宋体" w:hAnsi="宋体" w:eastAsia="宋体" w:cs="宋体"/>
                <w:szCs w:val="20"/>
              </w:rPr>
            </w:pPr>
          </w:p>
        </w:tc>
        <w:tc>
          <w:tcPr>
            <w:tcW w:w="1620" w:type="dxa"/>
            <w:vAlign w:val="center"/>
          </w:tcPr>
          <w:p>
            <w:pPr>
              <w:spacing w:line="360" w:lineRule="auto"/>
              <w:rPr>
                <w:rFonts w:hint="eastAsia" w:ascii="宋体" w:hAnsi="宋体" w:eastAsia="宋体" w:cs="宋体"/>
                <w:szCs w:val="20"/>
              </w:rPr>
            </w:pPr>
          </w:p>
        </w:tc>
      </w:tr>
    </w:tbl>
    <w:p>
      <w:pPr>
        <w:spacing w:line="440" w:lineRule="exact"/>
        <w:ind w:firstLine="480" w:firstLineChars="200"/>
        <w:jc w:val="left"/>
        <w:rPr>
          <w:rFonts w:hint="eastAsia" w:ascii="宋体" w:hAnsi="宋体" w:eastAsia="宋体" w:cs="宋体"/>
          <w:bCs/>
          <w:sz w:val="24"/>
        </w:rPr>
      </w:pPr>
      <w:r>
        <w:rPr>
          <w:rFonts w:hint="eastAsia" w:ascii="宋体" w:hAnsi="宋体" w:eastAsia="宋体" w:cs="宋体"/>
          <w:bCs/>
          <w:sz w:val="24"/>
        </w:rPr>
        <w:t>注： 具体详见资格审查要求；</w:t>
      </w:r>
    </w:p>
    <w:p>
      <w:pPr>
        <w:spacing w:line="440" w:lineRule="exact"/>
        <w:ind w:firstLine="482" w:firstLineChars="200"/>
        <w:jc w:val="left"/>
        <w:rPr>
          <w:rFonts w:hint="eastAsia" w:ascii="宋体" w:hAnsi="宋体" w:eastAsia="宋体" w:cs="宋体"/>
          <w:b/>
          <w:kern w:val="0"/>
          <w:sz w:val="24"/>
        </w:rPr>
      </w:pPr>
    </w:p>
    <w:p>
      <w:pPr>
        <w:spacing w:beforeLines="100" w:afterLines="100"/>
        <w:jc w:val="center"/>
        <w:rPr>
          <w:rFonts w:hint="eastAsia" w:ascii="宋体" w:hAnsi="宋体" w:eastAsia="宋体"/>
          <w:color w:val="000000"/>
          <w:sz w:val="28"/>
          <w:szCs w:val="28"/>
          <w:lang w:val="en-US" w:eastAsia="zh-CN"/>
        </w:rPr>
      </w:pPr>
    </w:p>
    <w:p>
      <w:pPr>
        <w:spacing w:beforeLines="100" w:afterLines="100"/>
        <w:jc w:val="center"/>
        <w:rPr>
          <w:rFonts w:hint="eastAsia" w:ascii="宋体" w:hAnsi="宋体" w:eastAsia="宋体"/>
          <w:color w:val="000000"/>
          <w:sz w:val="28"/>
          <w:szCs w:val="28"/>
          <w:lang w:val="en-US" w:eastAsia="zh-CN"/>
        </w:rPr>
      </w:pPr>
    </w:p>
    <w:p>
      <w:pPr>
        <w:spacing w:beforeLines="100" w:afterLines="100"/>
        <w:jc w:val="center"/>
        <w:rPr>
          <w:rFonts w:hint="eastAsia" w:ascii="宋体" w:hAnsi="宋体" w:eastAsia="宋体"/>
          <w:color w:val="000000"/>
          <w:sz w:val="28"/>
          <w:szCs w:val="28"/>
          <w:lang w:val="en-US" w:eastAsia="zh-CN"/>
        </w:rPr>
      </w:pPr>
    </w:p>
    <w:p>
      <w:pPr>
        <w:spacing w:beforeLines="100" w:afterLines="100"/>
        <w:jc w:val="center"/>
        <w:rPr>
          <w:rFonts w:hint="eastAsia" w:ascii="宋体" w:hAnsi="宋体" w:eastAsia="宋体"/>
          <w:color w:val="000000"/>
          <w:sz w:val="28"/>
          <w:szCs w:val="28"/>
          <w:lang w:val="en-US" w:eastAsia="zh-CN"/>
        </w:rPr>
      </w:pPr>
    </w:p>
    <w:p>
      <w:pPr>
        <w:spacing w:before="120" w:after="120" w:line="440" w:lineRule="exact"/>
        <w:jc w:val="center"/>
        <w:outlineLvl w:val="0"/>
        <w:rPr>
          <w:rFonts w:hint="eastAsia" w:ascii="宋体" w:hAnsi="宋体" w:eastAsia="宋体" w:cs="宋体"/>
          <w:b/>
          <w:sz w:val="32"/>
          <w:szCs w:val="32"/>
        </w:rPr>
      </w:pPr>
      <w:r>
        <w:rPr>
          <w:rFonts w:hint="eastAsia" w:ascii="宋体" w:hAnsi="宋体" w:eastAsia="宋体" w:cs="宋体"/>
          <w:b/>
          <w:sz w:val="32"/>
          <w:szCs w:val="32"/>
          <w:lang w:val="en-US" w:eastAsia="zh-CN"/>
        </w:rPr>
        <w:t>无在建</w:t>
      </w:r>
      <w:r>
        <w:rPr>
          <w:rFonts w:hint="eastAsia" w:ascii="宋体" w:hAnsi="宋体" w:eastAsia="宋体" w:cs="宋体"/>
          <w:b/>
          <w:sz w:val="32"/>
          <w:szCs w:val="32"/>
        </w:rPr>
        <w:t>承诺书</w:t>
      </w:r>
    </w:p>
    <w:p>
      <w:pPr>
        <w:spacing w:afterLines="100" w:line="440" w:lineRule="exact"/>
        <w:rPr>
          <w:rFonts w:ascii="宋体"/>
          <w:color w:val="000000"/>
          <w:sz w:val="24"/>
          <w:szCs w:val="24"/>
        </w:rPr>
      </w:pPr>
      <w:r>
        <w:rPr>
          <w:rFonts w:ascii="宋体" w:hAnsi="宋体"/>
          <w:color w:val="000000"/>
          <w:position w:val="-7"/>
          <w:sz w:val="24"/>
          <w:szCs w:val="24"/>
        </w:rPr>
        <w:t>————————</w:t>
      </w:r>
      <w:r>
        <w:rPr>
          <w:rFonts w:hint="eastAsia" w:ascii="宋体" w:hAnsi="宋体"/>
          <w:color w:val="000000"/>
          <w:sz w:val="24"/>
          <w:szCs w:val="24"/>
        </w:rPr>
        <w:t>（招标人名称）：</w:t>
      </w:r>
    </w:p>
    <w:p>
      <w:pPr>
        <w:spacing w:line="440" w:lineRule="exact"/>
        <w:ind w:firstLine="480" w:firstLineChars="200"/>
        <w:rPr>
          <w:rFonts w:ascii="宋体"/>
          <w:color w:val="000000"/>
          <w:sz w:val="24"/>
          <w:szCs w:val="24"/>
        </w:rPr>
      </w:pP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w:t>
      </w:r>
      <w:r>
        <w:rPr>
          <w:rFonts w:ascii="宋体" w:hAnsi="宋体"/>
          <w:color w:val="000000"/>
          <w:sz w:val="24"/>
          <w:szCs w:val="24"/>
          <w:u w:val="single"/>
        </w:rPr>
        <w:t xml:space="preserve">            </w:t>
      </w:r>
      <w:r>
        <w:rPr>
          <w:rFonts w:hint="eastAsia" w:ascii="宋体" w:hAnsi="宋体"/>
          <w:color w:val="000000"/>
          <w:sz w:val="24"/>
          <w:szCs w:val="24"/>
        </w:rPr>
        <w:t>标段（以下简称“本工程”）的项目经理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pPr>
        <w:spacing w:line="440" w:lineRule="exact"/>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pPr>
        <w:spacing w:line="440" w:lineRule="exact"/>
        <w:ind w:firstLine="480" w:firstLineChars="200"/>
        <w:rPr>
          <w:rFonts w:ascii="宋体"/>
          <w:color w:val="000000"/>
          <w:sz w:val="24"/>
          <w:szCs w:val="24"/>
        </w:rPr>
      </w:pPr>
    </w:p>
    <w:p>
      <w:pPr>
        <w:spacing w:line="440" w:lineRule="exact"/>
        <w:ind w:firstLine="480" w:firstLineChars="200"/>
        <w:rPr>
          <w:rFonts w:ascii="宋体"/>
          <w:color w:val="000000"/>
          <w:sz w:val="24"/>
          <w:szCs w:val="24"/>
        </w:rPr>
      </w:pPr>
    </w:p>
    <w:p>
      <w:pPr>
        <w:spacing w:line="440" w:lineRule="exact"/>
        <w:ind w:firstLine="480" w:firstLineChars="200"/>
        <w:rPr>
          <w:rFonts w:ascii="宋体"/>
          <w:color w:val="000000"/>
          <w:sz w:val="24"/>
          <w:szCs w:val="24"/>
        </w:rPr>
      </w:pPr>
      <w:r>
        <w:rPr>
          <w:rFonts w:hint="eastAsia" w:ascii="宋体" w:hAnsi="宋体"/>
          <w:color w:val="000000"/>
          <w:sz w:val="24"/>
          <w:szCs w:val="24"/>
        </w:rPr>
        <w:t>特此承诺</w:t>
      </w:r>
    </w:p>
    <w:p>
      <w:pPr>
        <w:spacing w:line="440" w:lineRule="exact"/>
        <w:ind w:firstLine="440" w:firstLineChars="200"/>
        <w:rPr>
          <w:rFonts w:ascii="宋体"/>
          <w:color w:val="000000"/>
          <w:sz w:val="22"/>
          <w:szCs w:val="22"/>
        </w:rPr>
      </w:pPr>
    </w:p>
    <w:p>
      <w:pPr>
        <w:spacing w:line="440" w:lineRule="exact"/>
        <w:ind w:firstLine="440" w:firstLineChars="200"/>
        <w:rPr>
          <w:rFonts w:ascii="宋体"/>
          <w:color w:val="000000"/>
          <w:sz w:val="22"/>
          <w:szCs w:val="22"/>
        </w:rPr>
      </w:pPr>
    </w:p>
    <w:p>
      <w:pPr>
        <w:spacing w:line="440" w:lineRule="exact"/>
        <w:ind w:firstLine="440" w:firstLineChars="200"/>
        <w:rPr>
          <w:rFonts w:ascii="宋体"/>
          <w:color w:val="000000"/>
          <w:sz w:val="22"/>
          <w:szCs w:val="22"/>
        </w:rPr>
      </w:pPr>
    </w:p>
    <w:p>
      <w:pPr>
        <w:spacing w:line="440" w:lineRule="exact"/>
        <w:ind w:firstLine="440" w:firstLineChars="200"/>
        <w:rPr>
          <w:rFonts w:ascii="宋体"/>
          <w:color w:val="000000"/>
          <w:sz w:val="22"/>
          <w:szCs w:val="22"/>
        </w:rPr>
      </w:pPr>
    </w:p>
    <w:p>
      <w:pPr>
        <w:spacing w:line="440" w:lineRule="exact"/>
        <w:ind w:firstLine="440" w:firstLineChars="200"/>
        <w:rPr>
          <w:rFonts w:ascii="宋体"/>
          <w:color w:val="000000"/>
          <w:sz w:val="22"/>
          <w:szCs w:val="22"/>
        </w:rPr>
      </w:pPr>
    </w:p>
    <w:p>
      <w:pPr>
        <w:spacing w:line="440" w:lineRule="exact"/>
        <w:ind w:firstLine="480" w:firstLineChars="200"/>
        <w:rPr>
          <w:rFonts w:ascii="宋体"/>
          <w:color w:val="000000"/>
          <w:sz w:val="24"/>
          <w:szCs w:val="24"/>
        </w:rPr>
      </w:pPr>
    </w:p>
    <w:p>
      <w:pPr>
        <w:spacing w:line="440" w:lineRule="exact"/>
        <w:jc w:val="right"/>
        <w:rPr>
          <w:rFonts w:ascii="宋体"/>
          <w:color w:val="000000"/>
          <w:sz w:val="24"/>
          <w:szCs w:val="24"/>
        </w:rPr>
      </w:pPr>
      <w:r>
        <w:rPr>
          <w:rFonts w:hint="eastAsia" w:ascii="宋体" w:hAnsi="宋体"/>
          <w:color w:val="000000"/>
          <w:sz w:val="24"/>
          <w:szCs w:val="24"/>
        </w:rPr>
        <w:t>投标人：</w:t>
      </w:r>
      <w:r>
        <w:rPr>
          <w:rFonts w:ascii="宋体" w:hAnsi="宋体"/>
          <w:color w:val="000000"/>
          <w:sz w:val="24"/>
          <w:szCs w:val="24"/>
          <w:u w:val="single"/>
        </w:rPr>
        <w:t xml:space="preserve">                             </w:t>
      </w:r>
      <w:r>
        <w:rPr>
          <w:rFonts w:hint="eastAsia" w:ascii="宋体" w:hAnsi="宋体"/>
          <w:color w:val="000000"/>
          <w:sz w:val="24"/>
          <w:szCs w:val="24"/>
        </w:rPr>
        <w:t>（盖单位章）</w:t>
      </w:r>
    </w:p>
    <w:p>
      <w:pPr>
        <w:spacing w:line="440" w:lineRule="exact"/>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（签字或盖章）</w:t>
      </w:r>
    </w:p>
    <w:p>
      <w:pPr>
        <w:spacing w:line="440" w:lineRule="exact"/>
        <w:jc w:val="right"/>
        <w:rPr>
          <w:rFonts w:ascii="宋体"/>
          <w:color w:val="000000"/>
          <w:sz w:val="24"/>
          <w:szCs w:val="24"/>
        </w:rPr>
      </w:pPr>
    </w:p>
    <w:p>
      <w:pPr>
        <w:widowControl/>
        <w:adjustRightInd w:val="0"/>
        <w:snapToGrid w:val="0"/>
        <w:spacing w:line="500" w:lineRule="exact"/>
        <w:ind w:firstLine="480" w:firstLineChars="200"/>
        <w:jc w:val="right"/>
        <w:rPr>
          <w:rFonts w:hint="eastAsia" w:ascii="宋体" w:hAnsi="宋体" w:eastAsia="宋体" w:cs="宋体"/>
          <w:b/>
          <w:kern w:val="0"/>
          <w:sz w:val="32"/>
          <w:szCs w:val="32"/>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p>
    <w:p>
      <w:pPr>
        <w:widowControl/>
        <w:adjustRightInd w:val="0"/>
        <w:snapToGrid w:val="0"/>
        <w:spacing w:line="500" w:lineRule="exact"/>
        <w:ind w:firstLine="482" w:firstLineChars="200"/>
        <w:jc w:val="left"/>
        <w:rPr>
          <w:rFonts w:hint="eastAsia" w:ascii="宋体" w:hAnsi="宋体" w:eastAsia="宋体" w:cs="宋体"/>
          <w:b/>
          <w:kern w:val="0"/>
          <w:sz w:val="24"/>
        </w:rPr>
      </w:pPr>
    </w:p>
    <w:p>
      <w:pPr>
        <w:widowControl/>
        <w:adjustRightInd w:val="0"/>
        <w:snapToGrid w:val="0"/>
        <w:spacing w:line="500" w:lineRule="exact"/>
        <w:ind w:firstLine="482" w:firstLineChars="200"/>
        <w:jc w:val="left"/>
        <w:rPr>
          <w:rFonts w:hint="eastAsia" w:ascii="宋体" w:hAnsi="宋体" w:eastAsia="宋体" w:cs="宋体"/>
          <w:b/>
          <w:kern w:val="0"/>
          <w:sz w:val="24"/>
        </w:rPr>
      </w:pPr>
    </w:p>
    <w:p>
      <w:pPr>
        <w:widowControl/>
        <w:adjustRightInd w:val="0"/>
        <w:snapToGrid w:val="0"/>
        <w:spacing w:line="500" w:lineRule="exact"/>
        <w:ind w:firstLine="482" w:firstLineChars="200"/>
        <w:jc w:val="left"/>
        <w:rPr>
          <w:rFonts w:hint="eastAsia" w:ascii="宋体" w:hAnsi="宋体" w:eastAsia="宋体" w:cs="宋体"/>
          <w:b/>
          <w:kern w:val="0"/>
          <w:sz w:val="24"/>
        </w:rPr>
      </w:pPr>
    </w:p>
    <w:p>
      <w:pPr>
        <w:spacing w:line="440" w:lineRule="exact"/>
        <w:rPr>
          <w:rFonts w:hint="eastAsia" w:ascii="宋体" w:hAnsi="宋体" w:eastAsia="宋体" w:cs="宋体"/>
          <w:bCs/>
          <w:sz w:val="24"/>
          <w:szCs w:val="20"/>
        </w:rPr>
      </w:pPr>
    </w:p>
    <w:p>
      <w:pPr>
        <w:rPr>
          <w:rFonts w:hint="eastAsia" w:ascii="宋体" w:hAnsi="宋体" w:eastAsia="宋体" w:cs="宋体"/>
          <w:bCs/>
          <w:sz w:val="24"/>
          <w:szCs w:val="20"/>
        </w:rPr>
      </w:pPr>
      <w:r>
        <w:rPr>
          <w:rFonts w:hint="eastAsia" w:ascii="宋体" w:hAnsi="宋体" w:eastAsia="宋体" w:cs="宋体"/>
          <w:bCs/>
          <w:sz w:val="24"/>
          <w:szCs w:val="20"/>
        </w:rPr>
        <w:br w:type="page"/>
      </w:r>
    </w:p>
    <w:p>
      <w:pPr>
        <w:spacing w:line="440" w:lineRule="exact"/>
        <w:rPr>
          <w:rFonts w:hint="eastAsia" w:ascii="宋体" w:hAnsi="宋体" w:eastAsia="宋体" w:cs="宋体"/>
          <w:bCs/>
          <w:sz w:val="24"/>
          <w:szCs w:val="20"/>
        </w:rPr>
      </w:pPr>
      <w:r>
        <w:rPr>
          <w:rFonts w:hint="eastAsia" w:ascii="宋体" w:hAnsi="宋体" w:eastAsia="宋体" w:cs="宋体"/>
          <w:bCs/>
          <w:sz w:val="24"/>
          <w:szCs w:val="20"/>
        </w:rPr>
        <w:t>附件六：</w:t>
      </w:r>
    </w:p>
    <w:p>
      <w:pPr>
        <w:keepNext/>
        <w:keepLines/>
        <w:tabs>
          <w:tab w:val="left" w:pos="1260"/>
        </w:tabs>
        <w:spacing w:line="700" w:lineRule="exact"/>
        <w:ind w:firstLine="562" w:firstLineChars="200"/>
        <w:jc w:val="center"/>
        <w:outlineLvl w:val="1"/>
        <w:rPr>
          <w:rFonts w:hint="eastAsia" w:ascii="宋体" w:hAnsi="宋体" w:eastAsia="宋体" w:cs="宋体"/>
          <w:b/>
          <w:color w:val="auto"/>
          <w:sz w:val="28"/>
          <w:szCs w:val="28"/>
        </w:rPr>
      </w:pPr>
      <w:bookmarkStart w:id="63" w:name="_Toc76741801"/>
      <w:r>
        <w:rPr>
          <w:rFonts w:hint="eastAsia" w:ascii="宋体" w:hAnsi="宋体" w:cs="宋体"/>
          <w:b/>
          <w:color w:val="FF0000"/>
          <w:sz w:val="28"/>
          <w:szCs w:val="28"/>
          <w:lang w:val="en-US" w:eastAsia="zh-CN"/>
        </w:rPr>
        <w:t xml:space="preserve"> </w:t>
      </w:r>
      <w:r>
        <w:rPr>
          <w:rFonts w:hint="eastAsia" w:ascii="宋体" w:hAnsi="宋体" w:eastAsia="宋体" w:cs="宋体"/>
          <w:b/>
          <w:color w:val="auto"/>
          <w:sz w:val="28"/>
          <w:szCs w:val="28"/>
        </w:rPr>
        <w:t>拟投入本工程的主要施工管理人员一览表</w:t>
      </w:r>
      <w:bookmarkEnd w:id="63"/>
    </w:p>
    <w:tbl>
      <w:tblPr>
        <w:tblStyle w:val="32"/>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59"/>
        <w:gridCol w:w="1276"/>
        <w:gridCol w:w="1417"/>
        <w:gridCol w:w="2126"/>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876" w:type="dxa"/>
            <w:gridSpan w:val="6"/>
            <w:vAlign w:val="center"/>
          </w:tcPr>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专业技术人员总人数：</w:t>
            </w:r>
            <w:r>
              <w:rPr>
                <w:rFonts w:hint="eastAsia" w:ascii="宋体" w:hAnsi="宋体" w:eastAsia="宋体" w:cs="宋体"/>
                <w:bCs/>
                <w:color w:val="auto"/>
                <w:sz w:val="24"/>
                <w:u w:val="single"/>
              </w:rPr>
              <w:t>_  _</w:t>
            </w:r>
            <w:r>
              <w:rPr>
                <w:rFonts w:hint="eastAsia" w:ascii="宋体" w:hAnsi="宋体" w:eastAsia="宋体" w:cs="宋体"/>
                <w:bCs/>
                <w:color w:val="auto"/>
                <w:sz w:val="24"/>
              </w:rPr>
              <w:t>人，占全体人员比例</w:t>
            </w:r>
            <w:r>
              <w:rPr>
                <w:rFonts w:hint="eastAsia" w:ascii="宋体" w:hAnsi="宋体" w:eastAsia="宋体" w:cs="宋体"/>
                <w:bCs/>
                <w:color w:val="auto"/>
                <w:sz w:val="24"/>
                <w:u w:val="single"/>
              </w:rPr>
              <w:t xml:space="preserve">__  </w:t>
            </w:r>
            <w:r>
              <w:rPr>
                <w:rFonts w:hint="eastAsia" w:ascii="宋体" w:hAnsi="宋体" w:eastAsia="宋体" w:cs="宋体"/>
                <w:bCs/>
                <w:color w:val="auto"/>
                <w:sz w:val="24"/>
              </w:rPr>
              <w:t>%，其中高级职称_</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_人，占专业技术人</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员比例__%，中级职称__人，占专业技术人员比例__%。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vAlign w:val="center"/>
          </w:tcPr>
          <w:p>
            <w:pPr>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姓  名</w:t>
            </w:r>
          </w:p>
        </w:tc>
        <w:tc>
          <w:tcPr>
            <w:tcW w:w="1559" w:type="dxa"/>
            <w:vAlign w:val="center"/>
          </w:tcPr>
          <w:p>
            <w:pPr>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专  业</w:t>
            </w:r>
          </w:p>
        </w:tc>
        <w:tc>
          <w:tcPr>
            <w:tcW w:w="1276" w:type="dxa"/>
            <w:vAlign w:val="center"/>
          </w:tcPr>
          <w:p>
            <w:pPr>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学  历</w:t>
            </w:r>
          </w:p>
        </w:tc>
        <w:tc>
          <w:tcPr>
            <w:tcW w:w="1417" w:type="dxa"/>
            <w:vAlign w:val="center"/>
          </w:tcPr>
          <w:p>
            <w:pPr>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岗  位</w:t>
            </w:r>
          </w:p>
        </w:tc>
        <w:tc>
          <w:tcPr>
            <w:tcW w:w="2126" w:type="dxa"/>
            <w:vAlign w:val="center"/>
          </w:tcPr>
          <w:p>
            <w:pPr>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专业工作年限</w:t>
            </w:r>
          </w:p>
        </w:tc>
        <w:tc>
          <w:tcPr>
            <w:tcW w:w="2397" w:type="dxa"/>
            <w:vAlign w:val="center"/>
          </w:tcPr>
          <w:p>
            <w:pPr>
              <w:spacing w:line="440" w:lineRule="exact"/>
              <w:jc w:val="center"/>
              <w:rPr>
                <w:rFonts w:hint="eastAsia" w:ascii="宋体" w:hAnsi="宋体" w:eastAsia="宋体" w:cs="宋体"/>
                <w:bCs/>
                <w:color w:val="auto"/>
                <w:sz w:val="24"/>
              </w:rPr>
            </w:pPr>
            <w:r>
              <w:rPr>
                <w:rFonts w:hint="eastAsia" w:ascii="宋体" w:hAnsi="宋体" w:eastAsia="宋体" w:cs="宋体"/>
                <w:bCs/>
                <w:color w:val="auto"/>
                <w:sz w:val="24"/>
              </w:rPr>
              <w:t>职称/职业资格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101" w:type="dxa"/>
            <w:vAlign w:val="center"/>
          </w:tcPr>
          <w:p>
            <w:pPr>
              <w:spacing w:line="440" w:lineRule="exact"/>
              <w:jc w:val="center"/>
              <w:rPr>
                <w:rFonts w:hint="eastAsia" w:ascii="宋体" w:hAnsi="宋体" w:eastAsia="宋体" w:cs="宋体"/>
                <w:bCs/>
                <w:color w:val="auto"/>
                <w:sz w:val="24"/>
              </w:rPr>
            </w:pPr>
          </w:p>
        </w:tc>
        <w:tc>
          <w:tcPr>
            <w:tcW w:w="1559" w:type="dxa"/>
            <w:vAlign w:val="center"/>
          </w:tcPr>
          <w:p>
            <w:pPr>
              <w:spacing w:line="440" w:lineRule="exact"/>
              <w:jc w:val="center"/>
              <w:rPr>
                <w:rFonts w:hint="eastAsia" w:ascii="宋体" w:hAnsi="宋体" w:eastAsia="宋体" w:cs="宋体"/>
                <w:bCs/>
                <w:color w:val="auto"/>
                <w:sz w:val="24"/>
              </w:rPr>
            </w:pPr>
          </w:p>
        </w:tc>
        <w:tc>
          <w:tcPr>
            <w:tcW w:w="1276" w:type="dxa"/>
            <w:vAlign w:val="center"/>
          </w:tcPr>
          <w:p>
            <w:pPr>
              <w:spacing w:line="440" w:lineRule="exact"/>
              <w:jc w:val="center"/>
              <w:rPr>
                <w:rFonts w:hint="eastAsia" w:ascii="宋体" w:hAnsi="宋体" w:eastAsia="宋体" w:cs="宋体"/>
                <w:bCs/>
                <w:color w:val="auto"/>
                <w:sz w:val="24"/>
              </w:rPr>
            </w:pPr>
          </w:p>
        </w:tc>
        <w:tc>
          <w:tcPr>
            <w:tcW w:w="1417" w:type="dxa"/>
            <w:vAlign w:val="center"/>
          </w:tcPr>
          <w:p>
            <w:pPr>
              <w:spacing w:line="440" w:lineRule="exact"/>
              <w:jc w:val="center"/>
              <w:rPr>
                <w:rFonts w:hint="eastAsia" w:ascii="宋体" w:hAnsi="宋体" w:eastAsia="宋体" w:cs="宋体"/>
                <w:bCs/>
                <w:color w:val="auto"/>
                <w:sz w:val="24"/>
              </w:rPr>
            </w:pPr>
          </w:p>
        </w:tc>
        <w:tc>
          <w:tcPr>
            <w:tcW w:w="2126" w:type="dxa"/>
            <w:vAlign w:val="center"/>
          </w:tcPr>
          <w:p>
            <w:pPr>
              <w:spacing w:line="440" w:lineRule="exact"/>
              <w:jc w:val="center"/>
              <w:rPr>
                <w:rFonts w:hint="eastAsia" w:ascii="宋体" w:hAnsi="宋体" w:eastAsia="宋体" w:cs="宋体"/>
                <w:bCs/>
                <w:color w:val="auto"/>
                <w:sz w:val="24"/>
              </w:rPr>
            </w:pPr>
          </w:p>
        </w:tc>
        <w:tc>
          <w:tcPr>
            <w:tcW w:w="2397" w:type="dxa"/>
            <w:vAlign w:val="center"/>
          </w:tcPr>
          <w:p>
            <w:pPr>
              <w:spacing w:line="440" w:lineRule="exact"/>
              <w:jc w:val="center"/>
              <w:rPr>
                <w:rFonts w:hint="eastAsia" w:ascii="宋体" w:hAnsi="宋体" w:eastAsia="宋体" w:cs="宋体"/>
                <w:bCs/>
                <w:color w:val="auto"/>
                <w:sz w:val="24"/>
              </w:rPr>
            </w:pPr>
          </w:p>
        </w:tc>
      </w:tr>
    </w:tbl>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注：1、“员”级以上者填写；</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2、按职称从高到低填写；</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3、此表不够时，可自行续表。</w:t>
      </w:r>
    </w:p>
    <w:p>
      <w:pPr>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4、后附人员身份证、资格证件</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劳动合同彩色扫描件</w:t>
      </w:r>
      <w:r>
        <w:rPr>
          <w:rFonts w:hint="eastAsia" w:ascii="宋体" w:hAnsi="宋体" w:eastAsia="宋体" w:cs="宋体"/>
          <w:bCs/>
          <w:color w:val="auto"/>
          <w:sz w:val="24"/>
          <w:highlight w:val="none"/>
        </w:rPr>
        <w:t>加盖公章。</w:t>
      </w:r>
    </w:p>
    <w:p>
      <w:pPr>
        <w:spacing w:line="440" w:lineRule="exact"/>
        <w:rPr>
          <w:rFonts w:hint="eastAsia" w:ascii="宋体" w:hAnsi="宋体" w:eastAsia="宋体" w:cs="宋体"/>
          <w:bCs/>
          <w:sz w:val="24"/>
        </w:rPr>
      </w:pPr>
    </w:p>
    <w:p>
      <w:pPr>
        <w:spacing w:line="440" w:lineRule="exact"/>
        <w:rPr>
          <w:rFonts w:hint="eastAsia" w:ascii="宋体" w:hAnsi="宋体" w:eastAsia="宋体" w:cs="宋体"/>
          <w:bCs/>
          <w:sz w:val="24"/>
        </w:rPr>
      </w:pPr>
    </w:p>
    <w:p>
      <w:pPr>
        <w:spacing w:line="440" w:lineRule="exact"/>
        <w:rPr>
          <w:rFonts w:hint="eastAsia" w:ascii="宋体" w:hAnsi="宋体" w:eastAsia="宋体" w:cs="宋体"/>
          <w:bCs/>
          <w:sz w:val="24"/>
        </w:rPr>
      </w:pPr>
      <w:r>
        <w:rPr>
          <w:rFonts w:hint="eastAsia" w:ascii="宋体" w:hAnsi="宋体" w:eastAsia="宋体" w:cs="宋体"/>
          <w:bCs/>
          <w:sz w:val="24"/>
        </w:rPr>
        <w:t>附件七：</w:t>
      </w:r>
    </w:p>
    <w:p>
      <w:pPr>
        <w:keepNext/>
        <w:keepLines/>
        <w:tabs>
          <w:tab w:val="left" w:pos="1260"/>
        </w:tabs>
        <w:spacing w:line="700" w:lineRule="exact"/>
        <w:jc w:val="center"/>
        <w:outlineLvl w:val="1"/>
        <w:rPr>
          <w:rFonts w:hint="eastAsia" w:ascii="宋体" w:hAnsi="宋体" w:eastAsia="宋体" w:cs="宋体"/>
          <w:b/>
          <w:sz w:val="28"/>
          <w:szCs w:val="28"/>
        </w:rPr>
      </w:pPr>
      <w:bookmarkStart w:id="64" w:name="_Toc76741802"/>
      <w:r>
        <w:rPr>
          <w:rFonts w:hint="eastAsia" w:ascii="宋体" w:hAnsi="宋体" w:cs="宋体"/>
          <w:b/>
          <w:sz w:val="28"/>
          <w:szCs w:val="28"/>
          <w:lang w:val="en-US" w:eastAsia="zh-CN"/>
        </w:rPr>
        <w:t xml:space="preserve"> </w:t>
      </w:r>
      <w:r>
        <w:rPr>
          <w:rFonts w:hint="eastAsia" w:ascii="宋体" w:hAnsi="宋体" w:eastAsia="宋体" w:cs="宋体"/>
          <w:b/>
          <w:sz w:val="28"/>
          <w:szCs w:val="28"/>
        </w:rPr>
        <w:t>中小企业声明函</w:t>
      </w:r>
      <w:bookmarkEnd w:id="64"/>
    </w:p>
    <w:p>
      <w:pPr>
        <w:spacing w:line="460" w:lineRule="exact"/>
        <w:ind w:firstLine="480" w:firstLineChars="200"/>
        <w:rPr>
          <w:rFonts w:hint="eastAsia" w:ascii="宋体" w:hAnsi="宋体" w:eastAsia="宋体" w:cs="宋体"/>
          <w:sz w:val="24"/>
        </w:rPr>
      </w:pP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本公司郑重声明，根据《政府采购促进中小企业发展暂行办法》（财库〔2011〕181号）的规定，本公司为__</w:t>
      </w:r>
      <w:r>
        <w:rPr>
          <w:rFonts w:hint="eastAsia" w:ascii="宋体" w:hAnsi="宋体" w:eastAsia="宋体" w:cs="宋体"/>
          <w:sz w:val="24"/>
          <w:u w:val="single"/>
        </w:rPr>
        <w:t>__   __</w:t>
      </w:r>
      <w:r>
        <w:rPr>
          <w:rFonts w:hint="eastAsia" w:ascii="宋体" w:hAnsi="宋体" w:eastAsia="宋体" w:cs="宋体"/>
          <w:sz w:val="24"/>
        </w:rPr>
        <w:t>（请填写：中型、小型、微型）企业。</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本公司同时满足以下条件：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bookmarkStart w:id="65" w:name="ref_[1]_7369364"/>
      <w:r>
        <w:rPr>
          <w:rFonts w:hint="eastAsia" w:ascii="宋体" w:hAnsi="宋体" w:eastAsia="宋体" w:cs="宋体"/>
          <w:sz w:val="24"/>
        </w:rPr>
        <w:t> </w:t>
      </w:r>
      <w:bookmarkEnd w:id="65"/>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rPr>
          <w:rFonts w:hint="eastAsia" w:ascii="宋体" w:hAnsi="宋体" w:eastAsia="宋体" w:cs="宋体"/>
          <w:sz w:val="24"/>
        </w:rPr>
      </w:pPr>
    </w:p>
    <w:p>
      <w:pPr>
        <w:spacing w:line="500" w:lineRule="exact"/>
        <w:ind w:firstLine="480" w:firstLineChars="200"/>
        <w:rPr>
          <w:rFonts w:hint="eastAsia" w:ascii="宋体" w:hAnsi="宋体" w:eastAsia="宋体" w:cs="宋体"/>
          <w:kern w:val="1"/>
          <w:sz w:val="24"/>
        </w:rPr>
      </w:pPr>
      <w:r>
        <w:rPr>
          <w:rFonts w:hint="eastAsia" w:ascii="宋体" w:hAnsi="宋体" w:eastAsia="宋体" w:cs="宋体"/>
          <w:kern w:val="1"/>
          <w:sz w:val="24"/>
        </w:rPr>
        <w:t>供应商（盖章）：</w:t>
      </w:r>
    </w:p>
    <w:p>
      <w:pPr>
        <w:spacing w:line="500" w:lineRule="exact"/>
        <w:rPr>
          <w:rFonts w:hint="eastAsia" w:ascii="宋体" w:hAnsi="宋体" w:eastAsia="宋体" w:cs="宋体"/>
          <w:kern w:val="1"/>
          <w:sz w:val="24"/>
        </w:rPr>
      </w:pP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法定代表人或全权代表（签字）：</w:t>
      </w:r>
    </w:p>
    <w:p>
      <w:pPr>
        <w:spacing w:line="500" w:lineRule="exact"/>
        <w:rPr>
          <w:rFonts w:hint="eastAsia" w:ascii="宋体" w:hAnsi="宋体" w:eastAsia="宋体" w:cs="宋体"/>
          <w:sz w:val="24"/>
        </w:rPr>
      </w:pP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日期：  年   月   日</w:t>
      </w: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460" w:lineRule="exact"/>
        <w:jc w:val="center"/>
        <w:rPr>
          <w:rFonts w:hint="eastAsia" w:ascii="宋体" w:hAnsi="宋体" w:eastAsia="宋体" w:cs="宋体"/>
          <w:b/>
          <w:bCs/>
          <w:sz w:val="28"/>
          <w:szCs w:val="28"/>
          <w:shd w:val="clear" w:color="auto" w:fill="FFFFFF"/>
        </w:rPr>
      </w:pPr>
      <w:r>
        <w:rPr>
          <w:rFonts w:hint="eastAsia" w:ascii="宋体" w:hAnsi="宋体" w:eastAsia="宋体" w:cs="宋体"/>
          <w:b/>
          <w:bCs/>
          <w:sz w:val="28"/>
          <w:szCs w:val="28"/>
          <w:shd w:val="clear" w:color="auto" w:fill="FFFFFF"/>
        </w:rPr>
        <w:t>从业人员声明函</w:t>
      </w:r>
    </w:p>
    <w:p>
      <w:pPr>
        <w:spacing w:line="500" w:lineRule="exact"/>
        <w:rPr>
          <w:rFonts w:hint="eastAsia" w:ascii="宋体" w:hAnsi="宋体" w:eastAsia="宋体" w:cs="宋体"/>
          <w:sz w:val="24"/>
          <w:szCs w:val="20"/>
        </w:rPr>
      </w:pPr>
    </w:p>
    <w:p>
      <w:pPr>
        <w:spacing w:line="500" w:lineRule="exact"/>
        <w:ind w:left="420" w:leftChars="200"/>
        <w:rPr>
          <w:rFonts w:hint="eastAsia" w:ascii="宋体" w:hAnsi="宋体" w:eastAsia="宋体" w:cs="宋体"/>
          <w:sz w:val="24"/>
          <w:szCs w:val="20"/>
          <w:u w:val="single"/>
        </w:rPr>
      </w:pPr>
      <w:r>
        <w:rPr>
          <w:rFonts w:hint="eastAsia" w:ascii="宋体" w:hAnsi="宋体" w:eastAsia="宋体" w:cs="宋体"/>
          <w:sz w:val="24"/>
          <w:szCs w:val="20"/>
        </w:rPr>
        <w:t>项目名称、项目编号：</w:t>
      </w:r>
    </w:p>
    <w:p>
      <w:pPr>
        <w:spacing w:line="5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本公司郑重声明：根据《政府采购促进中小企业发展暂行办法》（财库[2011]181号）、《工业和信息部、国家统计局、国家发展和改革委员会、财政部关于印发中小企业划型标准规定的通知》（工信部联企业[2011]300号）规定，本公司从业人员数为。</w:t>
      </w:r>
    </w:p>
    <w:p>
      <w:pPr>
        <w:spacing w:line="5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本公司对上述声明的真实性负责，如有虚假，将依法承担相应责任。</w:t>
      </w:r>
    </w:p>
    <w:p>
      <w:pPr>
        <w:spacing w:line="500" w:lineRule="exact"/>
        <w:rPr>
          <w:rFonts w:hint="eastAsia" w:ascii="宋体" w:hAnsi="宋体" w:eastAsia="宋体" w:cs="宋体"/>
          <w:sz w:val="24"/>
          <w:szCs w:val="20"/>
        </w:rPr>
      </w:pPr>
    </w:p>
    <w:p>
      <w:pPr>
        <w:spacing w:line="500" w:lineRule="exact"/>
        <w:ind w:firstLine="480" w:firstLineChars="200"/>
        <w:rPr>
          <w:rFonts w:hint="eastAsia" w:ascii="宋体" w:hAnsi="宋体" w:eastAsia="宋体" w:cs="宋体"/>
          <w:kern w:val="1"/>
          <w:sz w:val="24"/>
          <w:szCs w:val="20"/>
        </w:rPr>
      </w:pPr>
      <w:r>
        <w:rPr>
          <w:rFonts w:hint="eastAsia" w:ascii="宋体" w:hAnsi="宋体" w:eastAsia="宋体" w:cs="宋体"/>
          <w:kern w:val="1"/>
          <w:sz w:val="24"/>
          <w:szCs w:val="20"/>
        </w:rPr>
        <w:t>供应商（盖章）：</w:t>
      </w:r>
    </w:p>
    <w:p>
      <w:pPr>
        <w:spacing w:line="500" w:lineRule="exact"/>
        <w:rPr>
          <w:rFonts w:hint="eastAsia" w:ascii="宋体" w:hAnsi="宋体" w:eastAsia="宋体" w:cs="宋体"/>
          <w:kern w:val="1"/>
          <w:sz w:val="24"/>
          <w:szCs w:val="20"/>
        </w:rPr>
      </w:pPr>
    </w:p>
    <w:p>
      <w:pPr>
        <w:spacing w:line="5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法定代表人或全权代表（签字）：</w:t>
      </w:r>
    </w:p>
    <w:p>
      <w:pPr>
        <w:spacing w:line="500" w:lineRule="exact"/>
        <w:rPr>
          <w:rFonts w:hint="eastAsia" w:ascii="宋体" w:hAnsi="宋体" w:eastAsia="宋体" w:cs="宋体"/>
          <w:sz w:val="24"/>
          <w:szCs w:val="20"/>
        </w:rPr>
      </w:pPr>
    </w:p>
    <w:p>
      <w:pPr>
        <w:wordWrap w:val="0"/>
        <w:spacing w:line="500" w:lineRule="exact"/>
        <w:ind w:right="240" w:firstLine="480" w:firstLineChars="200"/>
        <w:jc w:val="right"/>
        <w:rPr>
          <w:rFonts w:hint="eastAsia" w:ascii="宋体" w:hAnsi="宋体" w:eastAsia="宋体" w:cs="宋体"/>
          <w:sz w:val="24"/>
          <w:szCs w:val="20"/>
        </w:rPr>
      </w:pPr>
    </w:p>
    <w:p>
      <w:pPr>
        <w:spacing w:line="500" w:lineRule="exact"/>
        <w:ind w:firstLine="480" w:firstLineChars="200"/>
        <w:jc w:val="right"/>
        <w:rPr>
          <w:rFonts w:hint="eastAsia" w:ascii="宋体" w:hAnsi="宋体" w:eastAsia="宋体" w:cs="宋体"/>
          <w:sz w:val="24"/>
          <w:szCs w:val="20"/>
        </w:rPr>
      </w:pPr>
      <w:r>
        <w:rPr>
          <w:rFonts w:hint="eastAsia" w:ascii="宋体" w:hAnsi="宋体" w:eastAsia="宋体" w:cs="宋体"/>
          <w:sz w:val="24"/>
          <w:szCs w:val="20"/>
        </w:rPr>
        <w:t xml:space="preserve">    日期：    年    月    日</w:t>
      </w:r>
    </w:p>
    <w:p>
      <w:pPr>
        <w:spacing w:line="500" w:lineRule="exact"/>
        <w:ind w:left="480" w:hanging="480" w:hangingChars="200"/>
        <w:jc w:val="right"/>
        <w:rPr>
          <w:rFonts w:hint="eastAsia" w:ascii="宋体" w:hAnsi="宋体" w:eastAsia="宋体" w:cs="宋体"/>
          <w:sz w:val="24"/>
          <w:szCs w:val="20"/>
        </w:rPr>
      </w:pPr>
    </w:p>
    <w:p>
      <w:pPr>
        <w:spacing w:line="500" w:lineRule="exact"/>
        <w:rPr>
          <w:rFonts w:hint="eastAsia" w:ascii="宋体" w:hAnsi="宋体" w:eastAsia="宋体" w:cs="宋体"/>
          <w:b/>
          <w:sz w:val="24"/>
          <w:szCs w:val="20"/>
        </w:rPr>
      </w:pPr>
    </w:p>
    <w:p>
      <w:pPr>
        <w:spacing w:line="500" w:lineRule="exact"/>
        <w:rPr>
          <w:rFonts w:hint="eastAsia" w:ascii="宋体" w:hAnsi="宋体" w:eastAsia="宋体" w:cs="宋体"/>
          <w:b/>
          <w:sz w:val="24"/>
          <w:szCs w:val="20"/>
        </w:rPr>
      </w:pPr>
    </w:p>
    <w:p>
      <w:pPr>
        <w:spacing w:line="500" w:lineRule="exact"/>
        <w:ind w:firstLine="482" w:firstLineChars="200"/>
        <w:rPr>
          <w:rFonts w:hint="eastAsia" w:ascii="宋体" w:hAnsi="宋体" w:eastAsia="宋体" w:cs="宋体"/>
          <w:b/>
          <w:sz w:val="24"/>
          <w:szCs w:val="20"/>
        </w:rPr>
      </w:pPr>
      <w:r>
        <w:rPr>
          <w:rFonts w:hint="eastAsia" w:ascii="宋体" w:hAnsi="宋体" w:eastAsia="宋体" w:cs="宋体"/>
          <w:b/>
          <w:sz w:val="24"/>
          <w:szCs w:val="20"/>
        </w:rPr>
        <w:t>备注：小型、微型企业产品价格需扣除的，须提供：</w:t>
      </w:r>
    </w:p>
    <w:p>
      <w:pPr>
        <w:spacing w:line="500" w:lineRule="exact"/>
        <w:ind w:firstLine="482" w:firstLineChars="200"/>
        <w:rPr>
          <w:rFonts w:hint="eastAsia" w:ascii="宋体" w:hAnsi="宋体" w:eastAsia="宋体" w:cs="宋体"/>
          <w:b/>
          <w:sz w:val="24"/>
          <w:szCs w:val="20"/>
        </w:rPr>
      </w:pPr>
      <w:r>
        <w:rPr>
          <w:rFonts w:hint="eastAsia" w:ascii="宋体" w:hAnsi="宋体" w:eastAsia="宋体" w:cs="宋体"/>
          <w:b/>
          <w:sz w:val="24"/>
          <w:szCs w:val="20"/>
        </w:rPr>
        <w:t>①《中小企业声明函》、《从业人员声明函》；</w:t>
      </w:r>
    </w:p>
    <w:p>
      <w:pPr>
        <w:spacing w:line="500" w:lineRule="exact"/>
        <w:ind w:firstLine="482" w:firstLineChars="200"/>
        <w:rPr>
          <w:rFonts w:hint="eastAsia" w:ascii="宋体" w:hAnsi="宋体" w:eastAsia="宋体" w:cs="宋体"/>
          <w:b/>
          <w:sz w:val="24"/>
          <w:szCs w:val="20"/>
        </w:rPr>
      </w:pPr>
      <w:r>
        <w:rPr>
          <w:rFonts w:hint="eastAsia" w:ascii="宋体" w:hAnsi="宋体" w:eastAsia="宋体" w:cs="宋体"/>
          <w:b/>
          <w:sz w:val="24"/>
          <w:szCs w:val="20"/>
        </w:rPr>
        <w:t>②上一年度资产负债表、损益表的复印件。</w:t>
      </w:r>
    </w:p>
    <w:p>
      <w:pPr>
        <w:spacing w:line="500" w:lineRule="exact"/>
        <w:ind w:firstLine="482" w:firstLineChars="200"/>
        <w:rPr>
          <w:rFonts w:hint="eastAsia" w:ascii="宋体" w:hAnsi="宋体" w:eastAsia="宋体" w:cs="宋体"/>
          <w:b/>
          <w:sz w:val="24"/>
          <w:szCs w:val="20"/>
        </w:rPr>
      </w:pPr>
      <w:r>
        <w:rPr>
          <w:rFonts w:hint="eastAsia" w:ascii="宋体" w:hAnsi="宋体" w:eastAsia="宋体" w:cs="宋体"/>
          <w:b/>
          <w:sz w:val="24"/>
          <w:szCs w:val="20"/>
        </w:rPr>
        <w:t>③如投标人为监狱企业，须提供省级以上监狱管理局、戒毒管理局（含新疆生产建设兵团）出具的属于监狱企业的证明文件复印件。</w:t>
      </w: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jc w:val="center"/>
        <w:rPr>
          <w:rFonts w:hint="eastAsia" w:ascii="宋体" w:hAnsi="宋体" w:eastAsia="宋体" w:cs="宋体"/>
          <w:b/>
          <w:bCs/>
          <w:sz w:val="28"/>
          <w:szCs w:val="28"/>
        </w:rPr>
      </w:pPr>
      <w:r>
        <w:rPr>
          <w:rFonts w:hint="eastAsia" w:ascii="宋体" w:hAnsi="宋体" w:eastAsia="宋体" w:cs="宋体"/>
          <w:b/>
          <w:bCs/>
          <w:sz w:val="28"/>
          <w:szCs w:val="28"/>
        </w:rPr>
        <w:t>残疾人福利性单位声明函</w:t>
      </w:r>
    </w:p>
    <w:p>
      <w:pPr>
        <w:spacing w:line="360" w:lineRule="auto"/>
        <w:rPr>
          <w:rFonts w:hint="eastAsia" w:ascii="宋体" w:hAnsi="宋体" w:eastAsia="宋体" w:cs="宋体"/>
          <w:spacing w:val="6"/>
          <w:sz w:val="24"/>
          <w:szCs w:val="20"/>
        </w:rPr>
      </w:pPr>
    </w:p>
    <w:p>
      <w:pPr>
        <w:spacing w:line="500" w:lineRule="exact"/>
        <w:ind w:firstLine="504" w:firstLineChars="200"/>
        <w:rPr>
          <w:rFonts w:hint="eastAsia" w:ascii="宋体" w:hAnsi="宋体" w:eastAsia="宋体" w:cs="宋体"/>
          <w:spacing w:val="6"/>
          <w:sz w:val="24"/>
          <w:szCs w:val="20"/>
        </w:rPr>
      </w:pPr>
      <w:r>
        <w:rPr>
          <w:rFonts w:hint="eastAsia" w:ascii="宋体" w:hAnsi="宋体" w:eastAsia="宋体" w:cs="宋体"/>
          <w:spacing w:val="6"/>
          <w:sz w:val="24"/>
          <w:szCs w:val="20"/>
        </w:rPr>
        <w:t>本单位郑重声明，根据《财政部 民政部 中国残疾人联合会关于促进残疾人就业政府采购政策的通知》（财库</w:t>
      </w:r>
      <w:r>
        <w:rPr>
          <w:rFonts w:hint="eastAsia" w:ascii="宋体" w:hAnsi="宋体" w:eastAsia="宋体" w:cs="宋体"/>
          <w:sz w:val="24"/>
          <w:szCs w:val="20"/>
        </w:rPr>
        <w:t>〔2017〕 141</w:t>
      </w:r>
      <w:r>
        <w:rPr>
          <w:rFonts w:hint="eastAsia" w:ascii="宋体" w:hAnsi="宋体" w:eastAsia="宋体" w:cs="宋体"/>
          <w:spacing w:val="6"/>
          <w:sz w:val="24"/>
          <w:szCs w:val="2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宋体" w:hAnsi="宋体" w:eastAsia="宋体" w:cs="宋体"/>
          <w:spacing w:val="6"/>
          <w:sz w:val="24"/>
          <w:szCs w:val="20"/>
        </w:rPr>
      </w:pPr>
      <w:r>
        <w:rPr>
          <w:rFonts w:hint="eastAsia" w:ascii="宋体" w:hAnsi="宋体" w:eastAsia="宋体" w:cs="宋体"/>
          <w:spacing w:val="6"/>
          <w:sz w:val="24"/>
          <w:szCs w:val="20"/>
        </w:rPr>
        <w:t>本单位对上述声明的真实性负责。如有虚假，将依法承担相应责任。</w:t>
      </w: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rPr>
          <w:rFonts w:hint="eastAsia" w:ascii="宋体" w:hAnsi="宋体" w:eastAsia="宋体" w:cs="宋体"/>
          <w:spacing w:val="6"/>
          <w:sz w:val="24"/>
          <w:szCs w:val="20"/>
        </w:rPr>
      </w:pPr>
    </w:p>
    <w:p>
      <w:pPr>
        <w:spacing w:line="5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供应商（盖章）：</w:t>
      </w:r>
    </w:p>
    <w:p>
      <w:pPr>
        <w:spacing w:line="500" w:lineRule="exact"/>
        <w:rPr>
          <w:rFonts w:hint="eastAsia" w:ascii="宋体" w:hAnsi="宋体" w:eastAsia="宋体" w:cs="宋体"/>
          <w:sz w:val="24"/>
          <w:szCs w:val="20"/>
        </w:rPr>
      </w:pPr>
    </w:p>
    <w:p>
      <w:pPr>
        <w:spacing w:line="5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法定代表人或全权代表（签字）：</w:t>
      </w:r>
    </w:p>
    <w:p>
      <w:pPr>
        <w:spacing w:line="500" w:lineRule="exact"/>
        <w:rPr>
          <w:rFonts w:hint="eastAsia" w:ascii="宋体" w:hAnsi="宋体" w:eastAsia="宋体" w:cs="宋体"/>
          <w:sz w:val="24"/>
          <w:szCs w:val="20"/>
        </w:rPr>
      </w:pPr>
    </w:p>
    <w:p>
      <w:pPr>
        <w:spacing w:line="500" w:lineRule="exact"/>
        <w:ind w:firstLine="480" w:firstLineChars="200"/>
        <w:rPr>
          <w:rFonts w:hint="eastAsia" w:ascii="宋体" w:hAnsi="宋体" w:eastAsia="宋体" w:cs="宋体"/>
          <w:sz w:val="24"/>
          <w:szCs w:val="20"/>
        </w:rPr>
      </w:pPr>
      <w:r>
        <w:rPr>
          <w:rFonts w:hint="eastAsia" w:ascii="宋体" w:hAnsi="宋体" w:eastAsia="宋体" w:cs="宋体"/>
          <w:sz w:val="24"/>
          <w:szCs w:val="20"/>
        </w:rPr>
        <w:t xml:space="preserve">                                                  日期：   年  月  日</w:t>
      </w:r>
    </w:p>
    <w:p>
      <w:pPr>
        <w:spacing w:after="120"/>
        <w:rPr>
          <w:rFonts w:hint="eastAsia" w:ascii="宋体" w:hAnsi="宋体" w:eastAsia="宋体" w:cs="宋体"/>
          <w:spacing w:val="6"/>
          <w:sz w:val="30"/>
          <w:szCs w:val="30"/>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pStyle w:val="15"/>
        <w:rPr>
          <w:rFonts w:hint="eastAsia"/>
        </w:rPr>
      </w:pPr>
    </w:p>
    <w:p>
      <w:pPr>
        <w:jc w:val="center"/>
        <w:rPr>
          <w:rFonts w:ascii="宋体" w:hAnsi="宋体" w:eastAsia="宋体" w:cs="宋体"/>
          <w:b/>
          <w:bCs/>
          <w:sz w:val="24"/>
          <w:szCs w:val="24"/>
          <w:lang w:eastAsia="zh-CN"/>
        </w:rPr>
      </w:pPr>
      <w:r>
        <w:rPr>
          <w:rFonts w:hint="eastAsia" w:ascii="宋体" w:hAnsi="宋体" w:eastAsia="宋体" w:cstheme="minorBidi"/>
          <w:b/>
          <w:bCs/>
          <w:spacing w:val="-1"/>
          <w:sz w:val="28"/>
          <w:szCs w:val="28"/>
          <w:lang w:val="en-US" w:eastAsia="zh-CN" w:bidi="ar-SA"/>
        </w:rPr>
        <w:t>节能产品明细表</w:t>
      </w:r>
    </w:p>
    <w:p>
      <w:pPr>
        <w:spacing w:before="13"/>
        <w:jc w:val="right"/>
        <w:rPr>
          <w:rFonts w:ascii="宋体" w:hAnsi="宋体" w:eastAsia="宋体" w:cs="宋体"/>
          <w:b/>
          <w:bCs/>
          <w:sz w:val="26"/>
          <w:szCs w:val="26"/>
          <w:lang w:eastAsia="zh-CN"/>
        </w:rPr>
      </w:pPr>
      <w:r>
        <w:t>价格单位：元</w:t>
      </w:r>
    </w:p>
    <w:p>
      <w:pPr>
        <w:spacing w:before="9"/>
        <w:rPr>
          <w:rFonts w:ascii="宋体" w:hAnsi="宋体" w:eastAsia="宋体" w:cs="宋体"/>
          <w:sz w:val="14"/>
          <w:szCs w:val="14"/>
          <w:lang w:eastAsia="zh-CN"/>
        </w:rPr>
      </w:pPr>
    </w:p>
    <w:p>
      <w:pPr>
        <w:spacing w:before="13"/>
        <w:rPr>
          <w:rFonts w:ascii="宋体" w:hAnsi="宋体" w:eastAsia="宋体" w:cs="宋体"/>
          <w:sz w:val="5"/>
          <w:szCs w:val="5"/>
          <w:lang w:eastAsia="zh-CN"/>
        </w:rPr>
      </w:pPr>
    </w:p>
    <w:tbl>
      <w:tblPr>
        <w:tblStyle w:val="32"/>
        <w:tblW w:w="8835" w:type="dxa"/>
        <w:jc w:val="center"/>
        <w:tblLayout w:type="fixed"/>
        <w:tblCellMar>
          <w:top w:w="0" w:type="dxa"/>
          <w:left w:w="0" w:type="dxa"/>
          <w:bottom w:w="0" w:type="dxa"/>
          <w:right w:w="0" w:type="dxa"/>
        </w:tblCellMar>
      </w:tblPr>
      <w:tblGrid>
        <w:gridCol w:w="501"/>
        <w:gridCol w:w="760"/>
        <w:gridCol w:w="920"/>
        <w:gridCol w:w="740"/>
        <w:gridCol w:w="780"/>
        <w:gridCol w:w="810"/>
        <w:gridCol w:w="650"/>
        <w:gridCol w:w="768"/>
        <w:gridCol w:w="882"/>
        <w:gridCol w:w="684"/>
        <w:gridCol w:w="710"/>
        <w:gridCol w:w="630"/>
      </w:tblGrid>
      <w:tr>
        <w:tblPrEx>
          <w:tblCellMar>
            <w:top w:w="0" w:type="dxa"/>
            <w:left w:w="0" w:type="dxa"/>
            <w:bottom w:w="0" w:type="dxa"/>
            <w:right w:w="0" w:type="dxa"/>
          </w:tblCellMar>
        </w:tblPrEx>
        <w:trPr>
          <w:trHeight w:val="490" w:hRule="exact"/>
          <w:jc w:val="center"/>
        </w:trPr>
        <w:tc>
          <w:tcPr>
            <w:tcW w:w="501" w:type="dxa"/>
            <w:vMerge w:val="restart"/>
            <w:tcBorders>
              <w:top w:val="single" w:color="000000" w:sz="4" w:space="0"/>
              <w:left w:val="single" w:color="000000" w:sz="4" w:space="0"/>
              <w:right w:val="single" w:color="000000" w:sz="4" w:space="0"/>
            </w:tcBorders>
          </w:tcPr>
          <w:p>
            <w:pPr>
              <w:pStyle w:val="83"/>
              <w:rPr>
                <w:rFonts w:ascii="宋体" w:hAnsi="宋体" w:eastAsia="宋体" w:cs="宋体"/>
                <w:sz w:val="24"/>
                <w:szCs w:val="24"/>
              </w:rPr>
            </w:pPr>
            <w:r>
              <w:rPr>
                <w:rFonts w:ascii="宋体" w:hAnsi="宋体" w:eastAsia="宋体" w:cs="宋体"/>
                <w:sz w:val="24"/>
                <w:szCs w:val="24"/>
              </w:rPr>
              <w:t>序</w:t>
            </w:r>
          </w:p>
          <w:p>
            <w:pPr>
              <w:pStyle w:val="83"/>
              <w:rPr>
                <w:rFonts w:ascii="宋体" w:hAnsi="宋体" w:eastAsia="宋体" w:cs="宋体"/>
                <w:sz w:val="24"/>
                <w:szCs w:val="24"/>
              </w:rPr>
            </w:pPr>
            <w:r>
              <w:rPr>
                <w:rFonts w:ascii="宋体" w:hAnsi="宋体" w:eastAsia="宋体" w:cs="宋体"/>
                <w:sz w:val="24"/>
                <w:szCs w:val="24"/>
              </w:rPr>
              <w:t>号</w:t>
            </w:r>
          </w:p>
        </w:tc>
        <w:tc>
          <w:tcPr>
            <w:tcW w:w="760" w:type="dxa"/>
            <w:vMerge w:val="restart"/>
            <w:tcBorders>
              <w:top w:val="single" w:color="000000" w:sz="4" w:space="0"/>
              <w:left w:val="single" w:color="000000" w:sz="4" w:space="0"/>
              <w:right w:val="single" w:color="000000" w:sz="4" w:space="0"/>
            </w:tcBorders>
          </w:tcPr>
          <w:p>
            <w:pPr>
              <w:pStyle w:val="83"/>
              <w:spacing w:before="4" w:line="480" w:lineRule="exact"/>
              <w:ind w:left="300" w:right="57" w:hanging="240"/>
              <w:rPr>
                <w:rFonts w:ascii="宋体" w:hAnsi="宋体" w:eastAsia="宋体" w:cs="宋体"/>
                <w:sz w:val="24"/>
                <w:szCs w:val="24"/>
              </w:rPr>
            </w:pPr>
            <w:r>
              <w:rPr>
                <w:rFonts w:ascii="宋体" w:hAnsi="宋体" w:eastAsia="宋体" w:cs="宋体"/>
                <w:sz w:val="24"/>
                <w:szCs w:val="24"/>
              </w:rPr>
              <w:t>产品</w:t>
            </w:r>
          </w:p>
          <w:p>
            <w:pPr>
              <w:pStyle w:val="83"/>
              <w:spacing w:before="4" w:line="480" w:lineRule="exact"/>
              <w:ind w:left="300" w:right="57" w:hanging="240"/>
              <w:rPr>
                <w:rFonts w:ascii="宋体" w:hAnsi="宋体" w:eastAsia="宋体" w:cs="宋体"/>
                <w:sz w:val="24"/>
                <w:szCs w:val="24"/>
              </w:rPr>
            </w:pPr>
            <w:r>
              <w:rPr>
                <w:rFonts w:ascii="宋体" w:hAnsi="宋体" w:eastAsia="宋体" w:cs="宋体"/>
                <w:sz w:val="24"/>
                <w:szCs w:val="24"/>
              </w:rPr>
              <w:t>名 称</w:t>
            </w:r>
          </w:p>
        </w:tc>
        <w:tc>
          <w:tcPr>
            <w:tcW w:w="920" w:type="dxa"/>
            <w:vMerge w:val="restart"/>
            <w:tcBorders>
              <w:top w:val="single" w:color="000000" w:sz="4" w:space="0"/>
              <w:left w:val="single" w:color="000000" w:sz="4" w:space="0"/>
              <w:right w:val="single" w:color="000000" w:sz="4" w:space="0"/>
            </w:tcBorders>
          </w:tcPr>
          <w:p>
            <w:pPr>
              <w:pStyle w:val="83"/>
              <w:spacing w:before="8"/>
              <w:rPr>
                <w:rFonts w:ascii="宋体" w:hAnsi="宋体" w:eastAsia="宋体" w:cs="宋体"/>
                <w:sz w:val="26"/>
                <w:szCs w:val="26"/>
              </w:rPr>
            </w:pPr>
          </w:p>
          <w:p>
            <w:pPr>
              <w:pStyle w:val="83"/>
              <w:ind w:left="60"/>
              <w:rPr>
                <w:rFonts w:ascii="宋体" w:hAnsi="宋体" w:eastAsia="宋体" w:cs="宋体"/>
                <w:sz w:val="24"/>
                <w:szCs w:val="24"/>
              </w:rPr>
            </w:pPr>
            <w:r>
              <w:rPr>
                <w:rFonts w:ascii="宋体" w:hAnsi="宋体" w:eastAsia="宋体" w:cs="宋体"/>
                <w:sz w:val="24"/>
                <w:szCs w:val="24"/>
              </w:rPr>
              <w:t>制造商</w:t>
            </w:r>
          </w:p>
        </w:tc>
        <w:tc>
          <w:tcPr>
            <w:tcW w:w="740" w:type="dxa"/>
            <w:vMerge w:val="restart"/>
            <w:tcBorders>
              <w:top w:val="single" w:color="000000" w:sz="4" w:space="0"/>
              <w:left w:val="single" w:color="000000" w:sz="4" w:space="0"/>
              <w:right w:val="single" w:color="000000" w:sz="4" w:space="0"/>
            </w:tcBorders>
          </w:tcPr>
          <w:p>
            <w:pPr>
              <w:pStyle w:val="83"/>
              <w:spacing w:before="8"/>
              <w:rPr>
                <w:rFonts w:ascii="宋体" w:hAnsi="宋体" w:eastAsia="宋体" w:cs="宋体"/>
                <w:sz w:val="26"/>
                <w:szCs w:val="26"/>
              </w:rPr>
            </w:pPr>
          </w:p>
          <w:p>
            <w:pPr>
              <w:pStyle w:val="83"/>
              <w:ind w:left="109"/>
              <w:rPr>
                <w:rFonts w:ascii="宋体" w:hAnsi="宋体" w:eastAsia="宋体" w:cs="宋体"/>
                <w:sz w:val="24"/>
                <w:szCs w:val="24"/>
              </w:rPr>
            </w:pPr>
            <w:r>
              <w:rPr>
                <w:rFonts w:ascii="宋体" w:hAnsi="宋体" w:eastAsia="宋体" w:cs="宋体"/>
                <w:sz w:val="24"/>
                <w:szCs w:val="24"/>
              </w:rPr>
              <w:t>品牌</w:t>
            </w:r>
          </w:p>
        </w:tc>
        <w:tc>
          <w:tcPr>
            <w:tcW w:w="780" w:type="dxa"/>
            <w:vMerge w:val="restart"/>
            <w:tcBorders>
              <w:top w:val="single" w:color="000000" w:sz="4" w:space="0"/>
              <w:left w:val="single" w:color="000000" w:sz="4" w:space="0"/>
              <w:right w:val="single" w:color="000000" w:sz="4" w:space="0"/>
            </w:tcBorders>
          </w:tcPr>
          <w:p>
            <w:pPr>
              <w:pStyle w:val="83"/>
              <w:spacing w:before="4" w:line="480" w:lineRule="exact"/>
              <w:ind w:left="300" w:right="57" w:hanging="240"/>
              <w:rPr>
                <w:rFonts w:ascii="宋体" w:hAnsi="宋体" w:eastAsia="宋体" w:cs="宋体"/>
                <w:sz w:val="24"/>
                <w:szCs w:val="24"/>
              </w:rPr>
            </w:pPr>
            <w:r>
              <w:rPr>
                <w:rFonts w:ascii="宋体" w:hAnsi="宋体" w:eastAsia="宋体" w:cs="宋体"/>
                <w:sz w:val="24"/>
                <w:szCs w:val="24"/>
              </w:rPr>
              <w:t>产品型 号</w:t>
            </w:r>
          </w:p>
        </w:tc>
        <w:tc>
          <w:tcPr>
            <w:tcW w:w="1460" w:type="dxa"/>
            <w:gridSpan w:val="2"/>
            <w:vMerge w:val="restart"/>
            <w:tcBorders>
              <w:top w:val="single" w:color="000000" w:sz="4" w:space="0"/>
              <w:left w:val="single" w:color="000000" w:sz="4" w:space="0"/>
              <w:right w:val="single" w:color="000000" w:sz="4" w:space="0"/>
            </w:tcBorders>
          </w:tcPr>
          <w:p>
            <w:pPr>
              <w:pStyle w:val="83"/>
              <w:spacing w:before="4" w:line="480" w:lineRule="exact"/>
              <w:ind w:left="605" w:right="4" w:hanging="600"/>
              <w:rPr>
                <w:rFonts w:ascii="宋体" w:hAnsi="宋体" w:eastAsia="宋体" w:cs="宋体"/>
                <w:sz w:val="24"/>
                <w:szCs w:val="24"/>
              </w:rPr>
            </w:pPr>
            <w:r>
              <w:rPr>
                <w:rFonts w:ascii="宋体" w:hAnsi="宋体" w:eastAsia="宋体" w:cs="宋体"/>
                <w:sz w:val="24"/>
                <w:szCs w:val="24"/>
              </w:rPr>
              <w:t>节字标志认证证 书号</w:t>
            </w:r>
          </w:p>
        </w:tc>
        <w:tc>
          <w:tcPr>
            <w:tcW w:w="1650" w:type="dxa"/>
            <w:gridSpan w:val="2"/>
            <w:vMerge w:val="restart"/>
            <w:tcBorders>
              <w:top w:val="single" w:color="000000" w:sz="4" w:space="0"/>
              <w:left w:val="single" w:color="000000" w:sz="4" w:space="0"/>
              <w:right w:val="single" w:color="000000" w:sz="4" w:space="0"/>
            </w:tcBorders>
          </w:tcPr>
          <w:p>
            <w:pPr>
              <w:pStyle w:val="83"/>
              <w:spacing w:before="4" w:line="480" w:lineRule="exact"/>
              <w:ind w:right="-2"/>
              <w:rPr>
                <w:rFonts w:ascii="宋体" w:hAnsi="宋体" w:eastAsia="宋体" w:cs="宋体"/>
                <w:sz w:val="24"/>
                <w:szCs w:val="24"/>
                <w:lang w:eastAsia="zh-CN"/>
              </w:rPr>
            </w:pPr>
            <w:r>
              <w:rPr>
                <w:rFonts w:ascii="宋体" w:hAnsi="宋体" w:eastAsia="宋体" w:cs="宋体"/>
                <w:sz w:val="24"/>
                <w:szCs w:val="24"/>
                <w:lang w:eastAsia="zh-CN"/>
              </w:rPr>
              <w:t>认证证书有效截</w:t>
            </w:r>
            <w:r>
              <w:rPr>
                <w:rFonts w:ascii="宋体" w:hAnsi="宋体" w:eastAsia="宋体" w:cs="宋体"/>
                <w:spacing w:val="-111"/>
                <w:sz w:val="24"/>
                <w:szCs w:val="24"/>
                <w:lang w:eastAsia="zh-CN"/>
              </w:rPr>
              <w:t xml:space="preserve"> </w:t>
            </w:r>
            <w:r>
              <w:rPr>
                <w:rFonts w:ascii="宋体" w:hAnsi="宋体" w:eastAsia="宋体" w:cs="宋体"/>
                <w:sz w:val="24"/>
                <w:szCs w:val="24"/>
                <w:lang w:eastAsia="zh-CN"/>
              </w:rPr>
              <w:t>止日期</w:t>
            </w:r>
          </w:p>
        </w:tc>
        <w:tc>
          <w:tcPr>
            <w:tcW w:w="2024" w:type="dxa"/>
            <w:gridSpan w:val="3"/>
            <w:tcBorders>
              <w:top w:val="single" w:color="000000" w:sz="4" w:space="0"/>
              <w:left w:val="single" w:color="000000" w:sz="4" w:space="0"/>
              <w:bottom w:val="single" w:color="000000" w:sz="4" w:space="0"/>
              <w:right w:val="single" w:color="000000" w:sz="4" w:space="0"/>
            </w:tcBorders>
          </w:tcPr>
          <w:p>
            <w:pPr>
              <w:pStyle w:val="83"/>
              <w:spacing w:before="103"/>
              <w:jc w:val="center"/>
              <w:rPr>
                <w:rFonts w:ascii="宋体" w:hAnsi="宋体" w:eastAsia="宋体" w:cs="宋体"/>
                <w:sz w:val="24"/>
                <w:szCs w:val="24"/>
              </w:rPr>
            </w:pPr>
            <w:r>
              <w:rPr>
                <w:rFonts w:ascii="宋体" w:hAnsi="宋体" w:eastAsia="宋体" w:cs="宋体"/>
                <w:sz w:val="24"/>
                <w:szCs w:val="24"/>
              </w:rPr>
              <w:t>价格</w:t>
            </w:r>
          </w:p>
        </w:tc>
      </w:tr>
      <w:tr>
        <w:tblPrEx>
          <w:tblCellMar>
            <w:top w:w="0" w:type="dxa"/>
            <w:left w:w="0" w:type="dxa"/>
            <w:bottom w:w="0" w:type="dxa"/>
            <w:right w:w="0" w:type="dxa"/>
          </w:tblCellMar>
        </w:tblPrEx>
        <w:trPr>
          <w:trHeight w:val="490" w:hRule="exact"/>
          <w:jc w:val="center"/>
        </w:trPr>
        <w:tc>
          <w:tcPr>
            <w:tcW w:w="501" w:type="dxa"/>
            <w:vMerge w:val="continue"/>
            <w:tcBorders>
              <w:left w:val="single" w:color="000000" w:sz="4" w:space="0"/>
              <w:bottom w:val="single" w:color="000000" w:sz="4" w:space="0"/>
              <w:right w:val="single" w:color="000000" w:sz="4" w:space="0"/>
            </w:tcBorders>
          </w:tcPr>
          <w:p/>
        </w:tc>
        <w:tc>
          <w:tcPr>
            <w:tcW w:w="760" w:type="dxa"/>
            <w:vMerge w:val="continue"/>
            <w:tcBorders>
              <w:left w:val="single" w:color="000000" w:sz="4" w:space="0"/>
              <w:bottom w:val="single" w:color="000000" w:sz="4" w:space="0"/>
              <w:right w:val="single" w:color="000000" w:sz="4" w:space="0"/>
            </w:tcBorders>
          </w:tcPr>
          <w:p/>
        </w:tc>
        <w:tc>
          <w:tcPr>
            <w:tcW w:w="920" w:type="dxa"/>
            <w:vMerge w:val="continue"/>
            <w:tcBorders>
              <w:left w:val="single" w:color="000000" w:sz="4" w:space="0"/>
              <w:bottom w:val="single" w:color="000000" w:sz="4" w:space="0"/>
              <w:right w:val="single" w:color="000000" w:sz="4" w:space="0"/>
            </w:tcBorders>
          </w:tcPr>
          <w:p/>
        </w:tc>
        <w:tc>
          <w:tcPr>
            <w:tcW w:w="740" w:type="dxa"/>
            <w:vMerge w:val="continue"/>
            <w:tcBorders>
              <w:left w:val="single" w:color="000000" w:sz="4" w:space="0"/>
              <w:bottom w:val="single" w:color="000000" w:sz="4" w:space="0"/>
              <w:right w:val="single" w:color="000000" w:sz="4" w:space="0"/>
            </w:tcBorders>
          </w:tcPr>
          <w:p/>
        </w:tc>
        <w:tc>
          <w:tcPr>
            <w:tcW w:w="780" w:type="dxa"/>
            <w:vMerge w:val="continue"/>
            <w:tcBorders>
              <w:left w:val="single" w:color="000000" w:sz="4" w:space="0"/>
              <w:bottom w:val="single" w:color="000000" w:sz="4" w:space="0"/>
              <w:right w:val="single" w:color="000000" w:sz="4" w:space="0"/>
            </w:tcBorders>
          </w:tcPr>
          <w:p/>
        </w:tc>
        <w:tc>
          <w:tcPr>
            <w:tcW w:w="1460" w:type="dxa"/>
            <w:gridSpan w:val="2"/>
            <w:vMerge w:val="continue"/>
            <w:tcBorders>
              <w:left w:val="single" w:color="000000" w:sz="4" w:space="0"/>
              <w:bottom w:val="single" w:color="000000" w:sz="4" w:space="0"/>
              <w:right w:val="single" w:color="000000" w:sz="4" w:space="0"/>
            </w:tcBorders>
          </w:tcPr>
          <w:p/>
        </w:tc>
        <w:tc>
          <w:tcPr>
            <w:tcW w:w="1650" w:type="dxa"/>
            <w:gridSpan w:val="2"/>
            <w:vMerge w:val="continue"/>
            <w:tcBorders>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pPr>
              <w:pStyle w:val="83"/>
              <w:spacing w:before="103"/>
              <w:rPr>
                <w:rFonts w:ascii="宋体" w:hAnsi="宋体" w:eastAsia="宋体" w:cs="宋体"/>
                <w:sz w:val="24"/>
                <w:szCs w:val="24"/>
              </w:rPr>
            </w:pPr>
            <w:r>
              <w:rPr>
                <w:rFonts w:ascii="宋体" w:hAnsi="宋体" w:eastAsia="宋体" w:cs="宋体"/>
                <w:sz w:val="24"/>
                <w:szCs w:val="24"/>
              </w:rPr>
              <w:t>单价</w:t>
            </w:r>
          </w:p>
        </w:tc>
        <w:tc>
          <w:tcPr>
            <w:tcW w:w="710" w:type="dxa"/>
            <w:tcBorders>
              <w:top w:val="single" w:color="000000" w:sz="4" w:space="0"/>
              <w:left w:val="single" w:color="000000" w:sz="4" w:space="0"/>
              <w:bottom w:val="single" w:color="000000" w:sz="4" w:space="0"/>
              <w:right w:val="single" w:color="000000" w:sz="4" w:space="0"/>
            </w:tcBorders>
          </w:tcPr>
          <w:p>
            <w:pPr>
              <w:pStyle w:val="83"/>
              <w:spacing w:before="103"/>
              <w:ind w:left="180"/>
              <w:rPr>
                <w:rFonts w:ascii="宋体" w:hAnsi="宋体" w:eastAsia="宋体" w:cs="宋体"/>
                <w:sz w:val="24"/>
                <w:szCs w:val="24"/>
              </w:rPr>
            </w:pPr>
            <w:r>
              <w:rPr>
                <w:rFonts w:ascii="宋体" w:hAnsi="宋体" w:eastAsia="宋体" w:cs="宋体"/>
                <w:sz w:val="24"/>
                <w:szCs w:val="24"/>
              </w:rPr>
              <w:t>数量</w:t>
            </w:r>
          </w:p>
        </w:tc>
        <w:tc>
          <w:tcPr>
            <w:tcW w:w="630" w:type="dxa"/>
            <w:tcBorders>
              <w:top w:val="single" w:color="000000" w:sz="4" w:space="0"/>
              <w:left w:val="single" w:color="000000" w:sz="4" w:space="0"/>
              <w:bottom w:val="single" w:color="000000" w:sz="4" w:space="0"/>
              <w:right w:val="single" w:color="000000" w:sz="4" w:space="0"/>
            </w:tcBorders>
          </w:tcPr>
          <w:p>
            <w:pPr>
              <w:pStyle w:val="83"/>
              <w:spacing w:before="103"/>
              <w:rPr>
                <w:rFonts w:ascii="宋体" w:hAnsi="宋体" w:eastAsia="宋体" w:cs="宋体"/>
                <w:sz w:val="24"/>
                <w:szCs w:val="24"/>
              </w:rPr>
            </w:pPr>
            <w:r>
              <w:rPr>
                <w:rFonts w:ascii="宋体" w:hAnsi="宋体" w:eastAsia="宋体" w:cs="宋体"/>
                <w:sz w:val="24"/>
                <w:szCs w:val="24"/>
              </w:rPr>
              <w:t>小计</w:t>
            </w:r>
          </w:p>
        </w:tc>
      </w:tr>
      <w:tr>
        <w:tblPrEx>
          <w:tblCellMar>
            <w:top w:w="0" w:type="dxa"/>
            <w:left w:w="0" w:type="dxa"/>
            <w:bottom w:w="0" w:type="dxa"/>
            <w:right w:w="0" w:type="dxa"/>
          </w:tblCellMar>
        </w:tblPrEx>
        <w:trPr>
          <w:trHeight w:val="490" w:hRule="exact"/>
          <w:jc w:val="center"/>
        </w:trPr>
        <w:tc>
          <w:tcPr>
            <w:tcW w:w="501" w:type="dxa"/>
            <w:tcBorders>
              <w:top w:val="single" w:color="000000" w:sz="4" w:space="0"/>
              <w:left w:val="single" w:color="000000" w:sz="4" w:space="0"/>
              <w:bottom w:val="single" w:color="000000" w:sz="4" w:space="0"/>
              <w:right w:val="single" w:color="000000" w:sz="4" w:space="0"/>
            </w:tcBorders>
          </w:tcPr>
          <w:p>
            <w:pPr>
              <w:pStyle w:val="83"/>
              <w:spacing w:before="105"/>
              <w:ind w:right="1"/>
              <w:jc w:val="center"/>
              <w:rPr>
                <w:rFonts w:ascii="宋体" w:hAnsi="宋体" w:eastAsia="宋体" w:cs="宋体"/>
                <w:sz w:val="24"/>
                <w:szCs w:val="24"/>
              </w:rPr>
            </w:pPr>
            <w:r>
              <w:rPr>
                <w:rFonts w:ascii="宋体"/>
                <w:sz w:val="24"/>
              </w:rPr>
              <w:t>1</w:t>
            </w:r>
          </w:p>
        </w:tc>
        <w:tc>
          <w:tcPr>
            <w:tcW w:w="760" w:type="dxa"/>
            <w:tcBorders>
              <w:top w:val="single" w:color="000000" w:sz="4" w:space="0"/>
              <w:left w:val="single" w:color="000000" w:sz="4" w:space="0"/>
              <w:bottom w:val="single" w:color="000000" w:sz="4" w:space="0"/>
              <w:right w:val="single" w:color="000000" w:sz="4" w:space="0"/>
            </w:tcBorders>
          </w:tcPr>
          <w:p/>
        </w:tc>
        <w:tc>
          <w:tcPr>
            <w:tcW w:w="920" w:type="dxa"/>
            <w:tcBorders>
              <w:top w:val="single" w:color="000000" w:sz="4" w:space="0"/>
              <w:left w:val="single" w:color="000000" w:sz="4" w:space="0"/>
              <w:bottom w:val="single" w:color="000000" w:sz="4" w:space="0"/>
              <w:right w:val="single" w:color="000000" w:sz="4" w:space="0"/>
            </w:tcBorders>
          </w:tcPr>
          <w:p/>
        </w:tc>
        <w:tc>
          <w:tcPr>
            <w:tcW w:w="740" w:type="dxa"/>
            <w:tcBorders>
              <w:top w:val="single" w:color="000000" w:sz="4" w:space="0"/>
              <w:left w:val="single" w:color="000000" w:sz="4" w:space="0"/>
              <w:bottom w:val="single" w:color="000000" w:sz="4" w:space="0"/>
              <w:right w:val="single" w:color="000000" w:sz="4" w:space="0"/>
            </w:tcBorders>
          </w:tcPr>
          <w:p/>
        </w:tc>
        <w:tc>
          <w:tcPr>
            <w:tcW w:w="780" w:type="dxa"/>
            <w:tcBorders>
              <w:top w:val="single" w:color="000000" w:sz="4" w:space="0"/>
              <w:left w:val="single" w:color="000000" w:sz="4" w:space="0"/>
              <w:bottom w:val="single" w:color="000000" w:sz="4" w:space="0"/>
              <w:right w:val="single" w:color="000000" w:sz="4" w:space="0"/>
            </w:tcBorders>
          </w:tcPr>
          <w:p/>
        </w:tc>
        <w:tc>
          <w:tcPr>
            <w:tcW w:w="1460" w:type="dxa"/>
            <w:gridSpan w:val="2"/>
            <w:tcBorders>
              <w:top w:val="single" w:color="000000" w:sz="4" w:space="0"/>
              <w:left w:val="single" w:color="000000" w:sz="4" w:space="0"/>
              <w:bottom w:val="single" w:color="000000" w:sz="4" w:space="0"/>
              <w:right w:val="single" w:color="000000" w:sz="4" w:space="0"/>
            </w:tcBorders>
          </w:tcPr>
          <w:p/>
        </w:tc>
        <w:tc>
          <w:tcPr>
            <w:tcW w:w="1650" w:type="dxa"/>
            <w:gridSpan w:val="2"/>
            <w:tcBorders>
              <w:top w:val="single" w:color="000000" w:sz="4" w:space="0"/>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tc>
        <w:tc>
          <w:tcPr>
            <w:tcW w:w="710" w:type="dxa"/>
            <w:tcBorders>
              <w:top w:val="single" w:color="000000" w:sz="4" w:space="0"/>
              <w:left w:val="single" w:color="000000" w:sz="4" w:space="0"/>
              <w:bottom w:val="single" w:color="000000" w:sz="4" w:space="0"/>
              <w:right w:val="single" w:color="000000" w:sz="4" w:space="0"/>
            </w:tcBorders>
          </w:tcPr>
          <w:p/>
        </w:tc>
        <w:tc>
          <w:tcPr>
            <w:tcW w:w="6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jc w:val="center"/>
        </w:trPr>
        <w:tc>
          <w:tcPr>
            <w:tcW w:w="501" w:type="dxa"/>
            <w:tcBorders>
              <w:top w:val="single" w:color="000000" w:sz="4" w:space="0"/>
              <w:left w:val="single" w:color="000000" w:sz="4" w:space="0"/>
              <w:bottom w:val="single" w:color="000000" w:sz="4" w:space="0"/>
              <w:right w:val="single" w:color="000000" w:sz="4" w:space="0"/>
            </w:tcBorders>
          </w:tcPr>
          <w:p>
            <w:pPr>
              <w:pStyle w:val="83"/>
              <w:spacing w:before="104"/>
              <w:ind w:right="1"/>
              <w:jc w:val="center"/>
              <w:rPr>
                <w:rFonts w:ascii="宋体" w:hAnsi="宋体" w:eastAsia="宋体" w:cs="宋体"/>
                <w:sz w:val="24"/>
                <w:szCs w:val="24"/>
              </w:rPr>
            </w:pPr>
            <w:r>
              <w:rPr>
                <w:rFonts w:ascii="宋体"/>
                <w:sz w:val="24"/>
              </w:rPr>
              <w:t>2</w:t>
            </w:r>
          </w:p>
        </w:tc>
        <w:tc>
          <w:tcPr>
            <w:tcW w:w="760" w:type="dxa"/>
            <w:tcBorders>
              <w:top w:val="single" w:color="000000" w:sz="4" w:space="0"/>
              <w:left w:val="single" w:color="000000" w:sz="4" w:space="0"/>
              <w:bottom w:val="single" w:color="000000" w:sz="4" w:space="0"/>
              <w:right w:val="single" w:color="000000" w:sz="4" w:space="0"/>
            </w:tcBorders>
          </w:tcPr>
          <w:p/>
        </w:tc>
        <w:tc>
          <w:tcPr>
            <w:tcW w:w="920" w:type="dxa"/>
            <w:tcBorders>
              <w:top w:val="single" w:color="000000" w:sz="4" w:space="0"/>
              <w:left w:val="single" w:color="000000" w:sz="4" w:space="0"/>
              <w:bottom w:val="single" w:color="000000" w:sz="4" w:space="0"/>
              <w:right w:val="single" w:color="000000" w:sz="4" w:space="0"/>
            </w:tcBorders>
          </w:tcPr>
          <w:p/>
        </w:tc>
        <w:tc>
          <w:tcPr>
            <w:tcW w:w="740" w:type="dxa"/>
            <w:tcBorders>
              <w:top w:val="single" w:color="000000" w:sz="4" w:space="0"/>
              <w:left w:val="single" w:color="000000" w:sz="4" w:space="0"/>
              <w:bottom w:val="single" w:color="000000" w:sz="4" w:space="0"/>
              <w:right w:val="single" w:color="000000" w:sz="4" w:space="0"/>
            </w:tcBorders>
          </w:tcPr>
          <w:p/>
        </w:tc>
        <w:tc>
          <w:tcPr>
            <w:tcW w:w="780" w:type="dxa"/>
            <w:tcBorders>
              <w:top w:val="single" w:color="000000" w:sz="4" w:space="0"/>
              <w:left w:val="single" w:color="000000" w:sz="4" w:space="0"/>
              <w:bottom w:val="single" w:color="000000" w:sz="4" w:space="0"/>
              <w:right w:val="single" w:color="000000" w:sz="4" w:space="0"/>
            </w:tcBorders>
          </w:tcPr>
          <w:p/>
        </w:tc>
        <w:tc>
          <w:tcPr>
            <w:tcW w:w="1460" w:type="dxa"/>
            <w:gridSpan w:val="2"/>
            <w:tcBorders>
              <w:top w:val="single" w:color="000000" w:sz="4" w:space="0"/>
              <w:left w:val="single" w:color="000000" w:sz="4" w:space="0"/>
              <w:bottom w:val="single" w:color="000000" w:sz="4" w:space="0"/>
              <w:right w:val="single" w:color="000000" w:sz="4" w:space="0"/>
            </w:tcBorders>
          </w:tcPr>
          <w:p/>
        </w:tc>
        <w:tc>
          <w:tcPr>
            <w:tcW w:w="1650" w:type="dxa"/>
            <w:gridSpan w:val="2"/>
            <w:tcBorders>
              <w:top w:val="single" w:color="000000" w:sz="4" w:space="0"/>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tc>
        <w:tc>
          <w:tcPr>
            <w:tcW w:w="710" w:type="dxa"/>
            <w:tcBorders>
              <w:top w:val="single" w:color="000000" w:sz="4" w:space="0"/>
              <w:left w:val="single" w:color="000000" w:sz="4" w:space="0"/>
              <w:bottom w:val="single" w:color="000000" w:sz="4" w:space="0"/>
              <w:right w:val="single" w:color="000000" w:sz="4" w:space="0"/>
            </w:tcBorders>
          </w:tcPr>
          <w:p/>
        </w:tc>
        <w:tc>
          <w:tcPr>
            <w:tcW w:w="6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jc w:val="center"/>
        </w:trPr>
        <w:tc>
          <w:tcPr>
            <w:tcW w:w="501" w:type="dxa"/>
            <w:tcBorders>
              <w:top w:val="single" w:color="000000" w:sz="4" w:space="0"/>
              <w:left w:val="single" w:color="000000" w:sz="4" w:space="0"/>
              <w:bottom w:val="single" w:color="000000" w:sz="4" w:space="0"/>
              <w:right w:val="single" w:color="000000" w:sz="4" w:space="0"/>
            </w:tcBorders>
          </w:tcPr>
          <w:p>
            <w:pPr>
              <w:pStyle w:val="83"/>
              <w:spacing w:before="104"/>
              <w:ind w:right="1"/>
              <w:jc w:val="center"/>
              <w:rPr>
                <w:rFonts w:ascii="宋体" w:hAnsi="宋体" w:eastAsia="宋体" w:cs="宋体"/>
                <w:sz w:val="24"/>
                <w:szCs w:val="24"/>
              </w:rPr>
            </w:pPr>
            <w:r>
              <w:rPr>
                <w:rFonts w:ascii="宋体"/>
                <w:sz w:val="24"/>
              </w:rPr>
              <w:t>....</w:t>
            </w:r>
          </w:p>
        </w:tc>
        <w:tc>
          <w:tcPr>
            <w:tcW w:w="760" w:type="dxa"/>
            <w:tcBorders>
              <w:top w:val="single" w:color="000000" w:sz="4" w:space="0"/>
              <w:left w:val="single" w:color="000000" w:sz="4" w:space="0"/>
              <w:bottom w:val="single" w:color="000000" w:sz="4" w:space="0"/>
              <w:right w:val="single" w:color="000000" w:sz="4" w:space="0"/>
            </w:tcBorders>
          </w:tcPr>
          <w:p/>
        </w:tc>
        <w:tc>
          <w:tcPr>
            <w:tcW w:w="920" w:type="dxa"/>
            <w:tcBorders>
              <w:top w:val="single" w:color="000000" w:sz="4" w:space="0"/>
              <w:left w:val="single" w:color="000000" w:sz="4" w:space="0"/>
              <w:bottom w:val="single" w:color="000000" w:sz="4" w:space="0"/>
              <w:right w:val="single" w:color="000000" w:sz="4" w:space="0"/>
            </w:tcBorders>
          </w:tcPr>
          <w:p/>
        </w:tc>
        <w:tc>
          <w:tcPr>
            <w:tcW w:w="740" w:type="dxa"/>
            <w:tcBorders>
              <w:top w:val="single" w:color="000000" w:sz="4" w:space="0"/>
              <w:left w:val="single" w:color="000000" w:sz="4" w:space="0"/>
              <w:bottom w:val="single" w:color="000000" w:sz="4" w:space="0"/>
              <w:right w:val="single" w:color="000000" w:sz="4" w:space="0"/>
            </w:tcBorders>
          </w:tcPr>
          <w:p/>
        </w:tc>
        <w:tc>
          <w:tcPr>
            <w:tcW w:w="780" w:type="dxa"/>
            <w:tcBorders>
              <w:top w:val="single" w:color="000000" w:sz="4" w:space="0"/>
              <w:left w:val="single" w:color="000000" w:sz="4" w:space="0"/>
              <w:bottom w:val="single" w:color="000000" w:sz="4" w:space="0"/>
              <w:right w:val="single" w:color="000000" w:sz="4" w:space="0"/>
            </w:tcBorders>
          </w:tcPr>
          <w:p/>
        </w:tc>
        <w:tc>
          <w:tcPr>
            <w:tcW w:w="1460" w:type="dxa"/>
            <w:gridSpan w:val="2"/>
            <w:tcBorders>
              <w:top w:val="single" w:color="000000" w:sz="4" w:space="0"/>
              <w:left w:val="single" w:color="000000" w:sz="4" w:space="0"/>
              <w:bottom w:val="single" w:color="000000" w:sz="4" w:space="0"/>
              <w:right w:val="single" w:color="000000" w:sz="4" w:space="0"/>
            </w:tcBorders>
          </w:tcPr>
          <w:p/>
        </w:tc>
        <w:tc>
          <w:tcPr>
            <w:tcW w:w="1650" w:type="dxa"/>
            <w:gridSpan w:val="2"/>
            <w:tcBorders>
              <w:top w:val="single" w:color="000000" w:sz="4" w:space="0"/>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tc>
        <w:tc>
          <w:tcPr>
            <w:tcW w:w="710" w:type="dxa"/>
            <w:tcBorders>
              <w:top w:val="single" w:color="000000" w:sz="4" w:space="0"/>
              <w:left w:val="single" w:color="000000" w:sz="4" w:space="0"/>
              <w:bottom w:val="single" w:color="000000" w:sz="4" w:space="0"/>
              <w:right w:val="single" w:color="000000" w:sz="4" w:space="0"/>
            </w:tcBorders>
          </w:tcPr>
          <w:p/>
        </w:tc>
        <w:tc>
          <w:tcPr>
            <w:tcW w:w="6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jc w:val="center"/>
        </w:trPr>
        <w:tc>
          <w:tcPr>
            <w:tcW w:w="8835" w:type="dxa"/>
            <w:gridSpan w:val="12"/>
            <w:tcBorders>
              <w:top w:val="single" w:color="000000" w:sz="4" w:space="0"/>
              <w:left w:val="single" w:color="000000" w:sz="4" w:space="0"/>
              <w:bottom w:val="single" w:color="000000" w:sz="4" w:space="0"/>
              <w:right w:val="single" w:color="000000" w:sz="4" w:space="0"/>
            </w:tcBorders>
          </w:tcPr>
          <w:p>
            <w:pPr>
              <w:pStyle w:val="83"/>
              <w:spacing w:before="103"/>
              <w:ind w:left="-1"/>
              <w:jc w:val="center"/>
              <w:rPr>
                <w:rFonts w:ascii="宋体" w:hAnsi="宋体" w:eastAsia="宋体" w:cs="宋体"/>
                <w:sz w:val="24"/>
                <w:szCs w:val="24"/>
              </w:rPr>
            </w:pPr>
            <w:r>
              <w:rPr>
                <w:rFonts w:ascii="宋体" w:hAnsi="宋体" w:eastAsia="宋体" w:cs="宋体"/>
                <w:sz w:val="24"/>
                <w:szCs w:val="24"/>
              </w:rPr>
              <w:t>强制节能产品总价</w:t>
            </w:r>
          </w:p>
        </w:tc>
      </w:tr>
      <w:tr>
        <w:tblPrEx>
          <w:tblCellMar>
            <w:top w:w="0" w:type="dxa"/>
            <w:left w:w="0" w:type="dxa"/>
            <w:bottom w:w="0" w:type="dxa"/>
            <w:right w:w="0" w:type="dxa"/>
          </w:tblCellMar>
        </w:tblPrEx>
        <w:trPr>
          <w:trHeight w:val="490" w:hRule="exact"/>
          <w:jc w:val="center"/>
        </w:trPr>
        <w:tc>
          <w:tcPr>
            <w:tcW w:w="501" w:type="dxa"/>
            <w:tcBorders>
              <w:top w:val="single" w:color="000000" w:sz="4" w:space="0"/>
              <w:left w:val="single" w:color="000000" w:sz="4" w:space="0"/>
              <w:bottom w:val="single" w:color="000000" w:sz="4" w:space="0"/>
              <w:right w:val="single" w:color="000000" w:sz="4" w:space="0"/>
            </w:tcBorders>
          </w:tcPr>
          <w:p>
            <w:pPr>
              <w:pStyle w:val="83"/>
              <w:spacing w:before="103"/>
              <w:ind w:right="1"/>
              <w:jc w:val="center"/>
              <w:rPr>
                <w:rFonts w:ascii="宋体" w:hAnsi="宋体" w:eastAsia="宋体" w:cs="宋体"/>
                <w:sz w:val="24"/>
                <w:szCs w:val="24"/>
              </w:rPr>
            </w:pPr>
            <w:r>
              <w:rPr>
                <w:rFonts w:ascii="宋体"/>
                <w:sz w:val="24"/>
              </w:rPr>
              <w:t>1</w:t>
            </w:r>
          </w:p>
        </w:tc>
        <w:tc>
          <w:tcPr>
            <w:tcW w:w="760" w:type="dxa"/>
            <w:tcBorders>
              <w:top w:val="single" w:color="000000" w:sz="4" w:space="0"/>
              <w:left w:val="single" w:color="000000" w:sz="4" w:space="0"/>
              <w:bottom w:val="single" w:color="000000" w:sz="4" w:space="0"/>
              <w:right w:val="single" w:color="000000" w:sz="4" w:space="0"/>
            </w:tcBorders>
          </w:tcPr>
          <w:p/>
        </w:tc>
        <w:tc>
          <w:tcPr>
            <w:tcW w:w="920" w:type="dxa"/>
            <w:tcBorders>
              <w:top w:val="single" w:color="000000" w:sz="4" w:space="0"/>
              <w:left w:val="single" w:color="000000" w:sz="4" w:space="0"/>
              <w:bottom w:val="single" w:color="000000" w:sz="4" w:space="0"/>
              <w:right w:val="single" w:color="000000" w:sz="4" w:space="0"/>
            </w:tcBorders>
          </w:tcPr>
          <w:p/>
        </w:tc>
        <w:tc>
          <w:tcPr>
            <w:tcW w:w="740" w:type="dxa"/>
            <w:tcBorders>
              <w:top w:val="single" w:color="000000" w:sz="4" w:space="0"/>
              <w:left w:val="single" w:color="000000" w:sz="4" w:space="0"/>
              <w:bottom w:val="single" w:color="000000" w:sz="4" w:space="0"/>
              <w:right w:val="single" w:color="000000" w:sz="4" w:space="0"/>
            </w:tcBorders>
          </w:tcPr>
          <w:p/>
        </w:tc>
        <w:tc>
          <w:tcPr>
            <w:tcW w:w="1590" w:type="dxa"/>
            <w:gridSpan w:val="2"/>
            <w:tcBorders>
              <w:top w:val="single" w:color="000000" w:sz="4" w:space="0"/>
              <w:left w:val="single" w:color="000000" w:sz="4" w:space="0"/>
              <w:bottom w:val="single" w:color="000000" w:sz="4" w:space="0"/>
              <w:right w:val="single" w:color="000000" w:sz="4" w:space="0"/>
            </w:tcBorders>
          </w:tcPr>
          <w:p/>
        </w:tc>
        <w:tc>
          <w:tcPr>
            <w:tcW w:w="1418" w:type="dxa"/>
            <w:gridSpan w:val="2"/>
            <w:tcBorders>
              <w:top w:val="single" w:color="000000" w:sz="4" w:space="0"/>
              <w:left w:val="single" w:color="000000" w:sz="4" w:space="0"/>
              <w:bottom w:val="single" w:color="000000" w:sz="4" w:space="0"/>
              <w:right w:val="single" w:color="000000" w:sz="4" w:space="0"/>
            </w:tcBorders>
          </w:tcPr>
          <w:p/>
        </w:tc>
        <w:tc>
          <w:tcPr>
            <w:tcW w:w="882" w:type="dxa"/>
            <w:tcBorders>
              <w:top w:val="single" w:color="000000" w:sz="4" w:space="0"/>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tc>
        <w:tc>
          <w:tcPr>
            <w:tcW w:w="710" w:type="dxa"/>
            <w:tcBorders>
              <w:top w:val="single" w:color="000000" w:sz="4" w:space="0"/>
              <w:left w:val="single" w:color="000000" w:sz="4" w:space="0"/>
              <w:bottom w:val="single" w:color="000000" w:sz="4" w:space="0"/>
              <w:right w:val="single" w:color="000000" w:sz="4" w:space="0"/>
            </w:tcBorders>
          </w:tcPr>
          <w:p/>
        </w:tc>
        <w:tc>
          <w:tcPr>
            <w:tcW w:w="6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jc w:val="center"/>
        </w:trPr>
        <w:tc>
          <w:tcPr>
            <w:tcW w:w="501" w:type="dxa"/>
            <w:tcBorders>
              <w:top w:val="single" w:color="000000" w:sz="4" w:space="0"/>
              <w:left w:val="single" w:color="000000" w:sz="4" w:space="0"/>
              <w:bottom w:val="single" w:color="000000" w:sz="4" w:space="0"/>
              <w:right w:val="single" w:color="000000" w:sz="4" w:space="0"/>
            </w:tcBorders>
          </w:tcPr>
          <w:p>
            <w:pPr>
              <w:pStyle w:val="83"/>
              <w:spacing w:before="103"/>
              <w:ind w:right="1"/>
              <w:jc w:val="center"/>
              <w:rPr>
                <w:rFonts w:ascii="宋体" w:hAnsi="宋体" w:eastAsia="宋体" w:cs="宋体"/>
                <w:sz w:val="24"/>
                <w:szCs w:val="24"/>
              </w:rPr>
            </w:pPr>
            <w:r>
              <w:rPr>
                <w:rFonts w:ascii="宋体"/>
                <w:sz w:val="24"/>
              </w:rPr>
              <w:t>2</w:t>
            </w:r>
          </w:p>
        </w:tc>
        <w:tc>
          <w:tcPr>
            <w:tcW w:w="760" w:type="dxa"/>
            <w:tcBorders>
              <w:top w:val="single" w:color="000000" w:sz="4" w:space="0"/>
              <w:left w:val="single" w:color="000000" w:sz="4" w:space="0"/>
              <w:bottom w:val="single" w:color="000000" w:sz="4" w:space="0"/>
              <w:right w:val="single" w:color="000000" w:sz="4" w:space="0"/>
            </w:tcBorders>
          </w:tcPr>
          <w:p/>
        </w:tc>
        <w:tc>
          <w:tcPr>
            <w:tcW w:w="920" w:type="dxa"/>
            <w:tcBorders>
              <w:top w:val="single" w:color="000000" w:sz="4" w:space="0"/>
              <w:left w:val="single" w:color="000000" w:sz="4" w:space="0"/>
              <w:bottom w:val="single" w:color="000000" w:sz="4" w:space="0"/>
              <w:right w:val="single" w:color="000000" w:sz="4" w:space="0"/>
            </w:tcBorders>
          </w:tcPr>
          <w:p/>
        </w:tc>
        <w:tc>
          <w:tcPr>
            <w:tcW w:w="740" w:type="dxa"/>
            <w:tcBorders>
              <w:top w:val="single" w:color="000000" w:sz="4" w:space="0"/>
              <w:left w:val="single" w:color="000000" w:sz="4" w:space="0"/>
              <w:bottom w:val="single" w:color="000000" w:sz="4" w:space="0"/>
              <w:right w:val="single" w:color="000000" w:sz="4" w:space="0"/>
            </w:tcBorders>
          </w:tcPr>
          <w:p/>
        </w:tc>
        <w:tc>
          <w:tcPr>
            <w:tcW w:w="1590" w:type="dxa"/>
            <w:gridSpan w:val="2"/>
            <w:tcBorders>
              <w:top w:val="single" w:color="000000" w:sz="4" w:space="0"/>
              <w:left w:val="single" w:color="000000" w:sz="4" w:space="0"/>
              <w:bottom w:val="single" w:color="000000" w:sz="4" w:space="0"/>
              <w:right w:val="single" w:color="000000" w:sz="4" w:space="0"/>
            </w:tcBorders>
          </w:tcPr>
          <w:p/>
        </w:tc>
        <w:tc>
          <w:tcPr>
            <w:tcW w:w="1418" w:type="dxa"/>
            <w:gridSpan w:val="2"/>
            <w:tcBorders>
              <w:top w:val="single" w:color="000000" w:sz="4" w:space="0"/>
              <w:left w:val="single" w:color="000000" w:sz="4" w:space="0"/>
              <w:bottom w:val="single" w:color="000000" w:sz="4" w:space="0"/>
              <w:right w:val="single" w:color="000000" w:sz="4" w:space="0"/>
            </w:tcBorders>
          </w:tcPr>
          <w:p/>
        </w:tc>
        <w:tc>
          <w:tcPr>
            <w:tcW w:w="882" w:type="dxa"/>
            <w:tcBorders>
              <w:top w:val="single" w:color="000000" w:sz="4" w:space="0"/>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tc>
        <w:tc>
          <w:tcPr>
            <w:tcW w:w="710" w:type="dxa"/>
            <w:tcBorders>
              <w:top w:val="single" w:color="000000" w:sz="4" w:space="0"/>
              <w:left w:val="single" w:color="000000" w:sz="4" w:space="0"/>
              <w:bottom w:val="single" w:color="000000" w:sz="4" w:space="0"/>
              <w:right w:val="single" w:color="000000" w:sz="4" w:space="0"/>
            </w:tcBorders>
          </w:tcPr>
          <w:p/>
        </w:tc>
        <w:tc>
          <w:tcPr>
            <w:tcW w:w="6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jc w:val="center"/>
        </w:trPr>
        <w:tc>
          <w:tcPr>
            <w:tcW w:w="501" w:type="dxa"/>
            <w:tcBorders>
              <w:top w:val="single" w:color="000000" w:sz="4" w:space="0"/>
              <w:left w:val="single" w:color="000000" w:sz="4" w:space="0"/>
              <w:bottom w:val="single" w:color="000000" w:sz="4" w:space="0"/>
              <w:right w:val="single" w:color="000000" w:sz="4" w:space="0"/>
            </w:tcBorders>
          </w:tcPr>
          <w:p>
            <w:pPr>
              <w:pStyle w:val="83"/>
              <w:spacing w:before="105"/>
              <w:ind w:right="1"/>
              <w:jc w:val="center"/>
              <w:rPr>
                <w:rFonts w:ascii="宋体" w:hAnsi="宋体" w:eastAsia="宋体" w:cs="宋体"/>
                <w:sz w:val="24"/>
                <w:szCs w:val="24"/>
              </w:rPr>
            </w:pPr>
            <w:r>
              <w:rPr>
                <w:rFonts w:ascii="宋体"/>
                <w:sz w:val="24"/>
              </w:rPr>
              <w:t>....</w:t>
            </w:r>
          </w:p>
        </w:tc>
        <w:tc>
          <w:tcPr>
            <w:tcW w:w="760" w:type="dxa"/>
            <w:tcBorders>
              <w:top w:val="single" w:color="000000" w:sz="4" w:space="0"/>
              <w:left w:val="single" w:color="000000" w:sz="4" w:space="0"/>
              <w:bottom w:val="single" w:color="000000" w:sz="4" w:space="0"/>
              <w:right w:val="single" w:color="000000" w:sz="4" w:space="0"/>
            </w:tcBorders>
          </w:tcPr>
          <w:p/>
        </w:tc>
        <w:tc>
          <w:tcPr>
            <w:tcW w:w="920" w:type="dxa"/>
            <w:tcBorders>
              <w:top w:val="single" w:color="000000" w:sz="4" w:space="0"/>
              <w:left w:val="single" w:color="000000" w:sz="4" w:space="0"/>
              <w:bottom w:val="single" w:color="000000" w:sz="4" w:space="0"/>
              <w:right w:val="single" w:color="000000" w:sz="4" w:space="0"/>
            </w:tcBorders>
          </w:tcPr>
          <w:p/>
        </w:tc>
        <w:tc>
          <w:tcPr>
            <w:tcW w:w="740" w:type="dxa"/>
            <w:tcBorders>
              <w:top w:val="single" w:color="000000" w:sz="4" w:space="0"/>
              <w:left w:val="single" w:color="000000" w:sz="4" w:space="0"/>
              <w:bottom w:val="single" w:color="000000" w:sz="4" w:space="0"/>
              <w:right w:val="single" w:color="000000" w:sz="4" w:space="0"/>
            </w:tcBorders>
          </w:tcPr>
          <w:p/>
        </w:tc>
        <w:tc>
          <w:tcPr>
            <w:tcW w:w="1590" w:type="dxa"/>
            <w:gridSpan w:val="2"/>
            <w:tcBorders>
              <w:top w:val="single" w:color="000000" w:sz="4" w:space="0"/>
              <w:left w:val="single" w:color="000000" w:sz="4" w:space="0"/>
              <w:bottom w:val="single" w:color="000000" w:sz="4" w:space="0"/>
              <w:right w:val="single" w:color="000000" w:sz="4" w:space="0"/>
            </w:tcBorders>
          </w:tcPr>
          <w:p/>
        </w:tc>
        <w:tc>
          <w:tcPr>
            <w:tcW w:w="1418" w:type="dxa"/>
            <w:gridSpan w:val="2"/>
            <w:tcBorders>
              <w:top w:val="single" w:color="000000" w:sz="4" w:space="0"/>
              <w:left w:val="single" w:color="000000" w:sz="4" w:space="0"/>
              <w:bottom w:val="single" w:color="000000" w:sz="4" w:space="0"/>
              <w:right w:val="single" w:color="000000" w:sz="4" w:space="0"/>
            </w:tcBorders>
          </w:tcPr>
          <w:p/>
        </w:tc>
        <w:tc>
          <w:tcPr>
            <w:tcW w:w="882" w:type="dxa"/>
            <w:tcBorders>
              <w:top w:val="single" w:color="000000" w:sz="4" w:space="0"/>
              <w:left w:val="single" w:color="000000" w:sz="4" w:space="0"/>
              <w:bottom w:val="single" w:color="000000" w:sz="4" w:space="0"/>
              <w:right w:val="single" w:color="000000" w:sz="4" w:space="0"/>
            </w:tcBorders>
          </w:tcPr>
          <w:p/>
        </w:tc>
        <w:tc>
          <w:tcPr>
            <w:tcW w:w="684" w:type="dxa"/>
            <w:tcBorders>
              <w:top w:val="single" w:color="000000" w:sz="4" w:space="0"/>
              <w:left w:val="single" w:color="000000" w:sz="4" w:space="0"/>
              <w:bottom w:val="single" w:color="000000" w:sz="4" w:space="0"/>
              <w:right w:val="single" w:color="000000" w:sz="4" w:space="0"/>
            </w:tcBorders>
          </w:tcPr>
          <w:p/>
        </w:tc>
        <w:tc>
          <w:tcPr>
            <w:tcW w:w="710" w:type="dxa"/>
            <w:tcBorders>
              <w:top w:val="single" w:color="000000" w:sz="4" w:space="0"/>
              <w:left w:val="single" w:color="000000" w:sz="4" w:space="0"/>
              <w:bottom w:val="single" w:color="000000" w:sz="4" w:space="0"/>
              <w:right w:val="single" w:color="000000" w:sz="4" w:space="0"/>
            </w:tcBorders>
          </w:tcPr>
          <w:p/>
        </w:tc>
        <w:tc>
          <w:tcPr>
            <w:tcW w:w="63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jc w:val="center"/>
        </w:trPr>
        <w:tc>
          <w:tcPr>
            <w:tcW w:w="8835" w:type="dxa"/>
            <w:gridSpan w:val="12"/>
            <w:tcBorders>
              <w:top w:val="single" w:color="000000" w:sz="4" w:space="0"/>
              <w:left w:val="single" w:color="000000" w:sz="4" w:space="0"/>
              <w:bottom w:val="single" w:color="000000" w:sz="4" w:space="0"/>
              <w:right w:val="single" w:color="000000" w:sz="4" w:space="0"/>
            </w:tcBorders>
          </w:tcPr>
          <w:p>
            <w:pPr>
              <w:pStyle w:val="83"/>
              <w:spacing w:before="104"/>
              <w:ind w:left="3461"/>
              <w:rPr>
                <w:rFonts w:ascii="宋体" w:hAnsi="宋体" w:eastAsia="宋体" w:cs="宋体"/>
                <w:sz w:val="24"/>
                <w:szCs w:val="24"/>
                <w:lang w:eastAsia="zh-CN"/>
              </w:rPr>
            </w:pPr>
            <w:r>
              <w:rPr>
                <w:rFonts w:ascii="宋体" w:hAnsi="宋体" w:eastAsia="宋体" w:cs="宋体"/>
                <w:sz w:val="24"/>
                <w:szCs w:val="24"/>
                <w:lang w:eastAsia="zh-CN"/>
              </w:rPr>
              <w:t>不含强制节能产品外的节能货物总价</w:t>
            </w:r>
          </w:p>
        </w:tc>
      </w:tr>
    </w:tbl>
    <w:p>
      <w:pPr>
        <w:pStyle w:val="15"/>
        <w:rPr>
          <w:lang w:eastAsia="zh-CN"/>
        </w:rPr>
      </w:pPr>
    </w:p>
    <w:p>
      <w:pPr>
        <w:pStyle w:val="7"/>
        <w:spacing w:before="26" w:line="367" w:lineRule="auto"/>
        <w:ind w:left="958"/>
        <w:rPr>
          <w:b w:val="0"/>
          <w:bCs w:val="0"/>
          <w:lang w:eastAsia="zh-CN"/>
        </w:rPr>
      </w:pPr>
      <w:r>
        <w:rPr>
          <w:b w:val="0"/>
          <w:bCs w:val="0"/>
          <w:spacing w:val="2"/>
          <w:w w:val="95"/>
          <w:lang w:eastAsia="zh-CN"/>
        </w:rPr>
        <w:t>说明：1、节能产品是指中国政府采购网发布的最新一期《节能产品政府采购清单》目</w:t>
      </w:r>
      <w:r>
        <w:rPr>
          <w:b w:val="0"/>
          <w:bCs w:val="0"/>
          <w:lang w:eastAsia="zh-CN"/>
        </w:rPr>
        <w:t>录内的产品，并附截图。</w:t>
      </w:r>
    </w:p>
    <w:p>
      <w:pPr>
        <w:spacing w:before="38"/>
        <w:ind w:left="1680"/>
        <w:rPr>
          <w:rFonts w:ascii="宋体" w:hAnsi="宋体" w:eastAsia="宋体" w:cs="宋体"/>
          <w:sz w:val="24"/>
          <w:szCs w:val="24"/>
          <w:lang w:eastAsia="zh-CN"/>
        </w:rPr>
      </w:pPr>
      <w:r>
        <w:rPr>
          <w:rFonts w:ascii="宋体" w:hAnsi="宋体" w:eastAsia="宋体" w:cs="宋体"/>
          <w:sz w:val="24"/>
          <w:szCs w:val="24"/>
          <w:lang w:eastAsia="zh-CN"/>
        </w:rPr>
        <w:t>2、表中内容为本次采购中涉及的证书有效期内的节能产品。</w:t>
      </w:r>
    </w:p>
    <w:p>
      <w:pPr>
        <w:spacing w:before="166" w:line="367" w:lineRule="auto"/>
        <w:ind w:left="958" w:firstLine="722"/>
        <w:rPr>
          <w:rFonts w:ascii="宋体" w:hAnsi="宋体" w:eastAsia="宋体" w:cs="宋体"/>
          <w:sz w:val="24"/>
          <w:szCs w:val="24"/>
          <w:lang w:eastAsia="zh-CN"/>
        </w:rPr>
      </w:pPr>
      <w:r>
        <w:rPr>
          <w:rFonts w:ascii="宋体" w:hAnsi="宋体" w:eastAsia="宋体" w:cs="宋体"/>
          <w:spacing w:val="2"/>
          <w:w w:val="95"/>
          <w:sz w:val="24"/>
          <w:szCs w:val="24"/>
          <w:lang w:eastAsia="zh-CN"/>
        </w:rPr>
        <w:t>3、如所投产品为节能产品，应当按规定格式逐项填写，否则评审时不予加分。</w:t>
      </w:r>
      <w:r>
        <w:rPr>
          <w:rFonts w:ascii="宋体" w:hAnsi="宋体" w:eastAsia="宋体" w:cs="宋体"/>
          <w:w w:val="99"/>
          <w:sz w:val="24"/>
          <w:szCs w:val="24"/>
          <w:lang w:eastAsia="zh-CN"/>
        </w:rPr>
        <w:t xml:space="preserve"> </w:t>
      </w:r>
      <w:r>
        <w:rPr>
          <w:rFonts w:ascii="宋体" w:hAnsi="宋体" w:eastAsia="宋体" w:cs="宋体"/>
          <w:sz w:val="24"/>
          <w:szCs w:val="24"/>
          <w:lang w:eastAsia="zh-CN"/>
        </w:rPr>
        <w:t>如所投产品不是节能产品，则不需填写本表。</w:t>
      </w: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pStyle w:val="2"/>
        <w:spacing w:before="191" w:line="336" w:lineRule="auto"/>
        <w:ind w:left="1198" w:right="6068"/>
        <w:rPr>
          <w:lang w:eastAsia="zh-CN"/>
        </w:rPr>
      </w:pPr>
      <w:r>
        <w:rPr>
          <w:lang w:eastAsia="zh-CN"/>
        </w:rPr>
        <w:t>供应商 （公章</w:t>
      </w:r>
      <w:r>
        <w:rPr>
          <w:spacing w:val="-120"/>
          <w:lang w:eastAsia="zh-CN"/>
        </w:rPr>
        <w:t>）</w:t>
      </w:r>
      <w:r>
        <w:rPr>
          <w:lang w:eastAsia="zh-CN"/>
        </w:rPr>
        <w:t xml:space="preserve">： </w:t>
      </w:r>
    </w:p>
    <w:p>
      <w:pPr>
        <w:ind w:firstLine="1200" w:firstLineChars="500"/>
        <w:rPr>
          <w:sz w:val="24"/>
          <w:szCs w:val="24"/>
          <w:lang w:eastAsia="zh-CN"/>
        </w:rPr>
      </w:pPr>
      <w:r>
        <w:rPr>
          <w:sz w:val="24"/>
          <w:szCs w:val="24"/>
          <w:lang w:eastAsia="zh-CN"/>
        </w:rPr>
        <w:t>法定代表人或授权代理人：（签字）</w:t>
      </w:r>
    </w:p>
    <w:p>
      <w:pPr>
        <w:spacing w:before="13"/>
        <w:rPr>
          <w:rFonts w:ascii="宋体" w:hAnsi="宋体" w:eastAsia="宋体" w:cs="宋体"/>
          <w:sz w:val="35"/>
          <w:szCs w:val="35"/>
          <w:lang w:eastAsia="zh-CN"/>
        </w:rPr>
      </w:pPr>
    </w:p>
    <w:p>
      <w:pPr>
        <w:pStyle w:val="2"/>
        <w:tabs>
          <w:tab w:val="left" w:pos="599"/>
          <w:tab w:val="left" w:pos="1199"/>
        </w:tabs>
        <w:spacing w:before="0"/>
        <w:ind w:left="0" w:right="977"/>
        <w:jc w:val="right"/>
        <w:rPr>
          <w:lang w:eastAsia="zh-CN"/>
        </w:rPr>
        <w:sectPr>
          <w:pgSz w:w="11910" w:h="16840"/>
          <w:pgMar w:top="1440" w:right="1080" w:bottom="1440" w:left="1080" w:header="1020" w:footer="720" w:gutter="0"/>
          <w:pgNumType w:fmt="decimal"/>
          <w:cols w:space="720" w:num="1"/>
        </w:sectPr>
      </w:pPr>
      <w:r>
        <w:rPr>
          <w:lang w:eastAsia="zh-CN"/>
        </w:rPr>
        <w:t>年</w:t>
      </w:r>
      <w:r>
        <w:rPr>
          <w:lang w:eastAsia="zh-CN"/>
        </w:rPr>
        <w:tab/>
      </w:r>
      <w:r>
        <w:rPr>
          <w:lang w:eastAsia="zh-CN"/>
        </w:rPr>
        <w:t>月</w:t>
      </w:r>
      <w:r>
        <w:rPr>
          <w:lang w:eastAsia="zh-CN"/>
        </w:rPr>
        <w:tab/>
      </w:r>
      <w:r>
        <w:rPr>
          <w:lang w:eastAsia="zh-CN"/>
        </w:rPr>
        <w:t>日</w:t>
      </w:r>
    </w:p>
    <w:p>
      <w:pPr>
        <w:rPr>
          <w:rFonts w:ascii="宋体" w:hAnsi="宋体" w:eastAsia="宋体" w:cs="宋体"/>
          <w:lang w:eastAsia="zh-CN"/>
        </w:rPr>
        <w:sectPr>
          <w:pgSz w:w="11910" w:h="16840"/>
          <w:pgMar w:top="1440" w:right="1080" w:bottom="1440" w:left="1080" w:header="1020" w:footer="970" w:gutter="0"/>
          <w:pgNumType w:fmt="decimal"/>
          <w:cols w:space="720" w:num="1"/>
        </w:sectPr>
      </w:pPr>
    </w:p>
    <w:p>
      <w:pPr>
        <w:pStyle w:val="2"/>
        <w:spacing w:before="165"/>
        <w:ind w:left="0" w:right="-20"/>
        <w:rPr>
          <w:lang w:eastAsia="zh-CN"/>
        </w:rPr>
      </w:pPr>
    </w:p>
    <w:p>
      <w:pPr>
        <w:rPr>
          <w:rFonts w:ascii="宋体" w:hAnsi="宋体" w:eastAsia="宋体" w:cs="宋体"/>
          <w:sz w:val="28"/>
          <w:szCs w:val="28"/>
          <w:lang w:eastAsia="zh-CN"/>
        </w:rPr>
      </w:pPr>
      <w:r>
        <w:rPr>
          <w:lang w:eastAsia="zh-CN"/>
        </w:rPr>
        <w:br w:type="column"/>
      </w:r>
    </w:p>
    <w:p>
      <w:pPr>
        <w:pStyle w:val="6"/>
        <w:spacing w:before="232"/>
        <w:ind w:left="958" w:right="-11"/>
        <w:rPr>
          <w:rFonts w:ascii="宋体" w:hAnsi="宋体" w:eastAsia="宋体" w:cs="宋体"/>
          <w:b/>
          <w:bCs/>
          <w:sz w:val="24"/>
          <w:szCs w:val="24"/>
          <w:lang w:eastAsia="zh-CN"/>
        </w:rPr>
      </w:pPr>
      <w:r>
        <w:rPr>
          <w:spacing w:val="-1"/>
          <w:lang w:eastAsia="zh-CN"/>
        </w:rPr>
        <w:t>环境标志产品明细表</w:t>
      </w:r>
    </w:p>
    <w:p>
      <w:pPr>
        <w:rPr>
          <w:rFonts w:ascii="宋体" w:hAnsi="宋体" w:eastAsia="宋体" w:cs="宋体"/>
          <w:b/>
          <w:bCs/>
          <w:sz w:val="24"/>
          <w:szCs w:val="24"/>
          <w:lang w:eastAsia="zh-CN"/>
        </w:rPr>
      </w:pPr>
    </w:p>
    <w:p>
      <w:pPr>
        <w:spacing w:before="13"/>
        <w:rPr>
          <w:rFonts w:ascii="宋体" w:hAnsi="宋体" w:eastAsia="宋体" w:cs="宋体"/>
          <w:b/>
          <w:bCs/>
          <w:sz w:val="26"/>
          <w:szCs w:val="26"/>
          <w:lang w:eastAsia="zh-CN"/>
        </w:rPr>
      </w:pPr>
    </w:p>
    <w:p>
      <w:pPr>
        <w:pStyle w:val="2"/>
        <w:spacing w:before="0"/>
        <w:ind w:left="958"/>
      </w:pPr>
      <w:r>
        <w:t>价格单位：元</w:t>
      </w:r>
    </w:p>
    <w:p>
      <w:pPr>
        <w:sectPr>
          <w:type w:val="continuous"/>
          <w:pgSz w:w="11910" w:h="16840"/>
          <w:pgMar w:top="1440" w:right="1080" w:bottom="1440" w:left="1080" w:header="720" w:footer="720" w:gutter="0"/>
          <w:pgNumType w:fmt="decimal"/>
          <w:cols w:equalWidth="0" w:num="3">
            <w:col w:w="1239" w:space="1220"/>
            <w:col w:w="3489" w:space="1062"/>
            <w:col w:w="2740"/>
          </w:cols>
        </w:sectPr>
      </w:pPr>
    </w:p>
    <w:p>
      <w:pPr>
        <w:spacing w:before="9"/>
        <w:rPr>
          <w:rFonts w:ascii="宋体" w:hAnsi="宋体" w:eastAsia="宋体" w:cs="宋体"/>
          <w:sz w:val="14"/>
          <w:szCs w:val="14"/>
        </w:rPr>
      </w:pPr>
    </w:p>
    <w:p>
      <w:pPr>
        <w:spacing w:before="12"/>
        <w:rPr>
          <w:rFonts w:ascii="宋体" w:hAnsi="宋体" w:eastAsia="宋体" w:cs="宋体"/>
          <w:sz w:val="5"/>
          <w:szCs w:val="5"/>
        </w:rPr>
      </w:pPr>
    </w:p>
    <w:tbl>
      <w:tblPr>
        <w:tblStyle w:val="32"/>
        <w:tblW w:w="0" w:type="auto"/>
        <w:tblInd w:w="102" w:type="dxa"/>
        <w:tblLayout w:type="fixed"/>
        <w:tblCellMar>
          <w:top w:w="0" w:type="dxa"/>
          <w:left w:w="0" w:type="dxa"/>
          <w:bottom w:w="0" w:type="dxa"/>
          <w:right w:w="0" w:type="dxa"/>
        </w:tblCellMar>
      </w:tblPr>
      <w:tblGrid>
        <w:gridCol w:w="457"/>
        <w:gridCol w:w="910"/>
        <w:gridCol w:w="1110"/>
        <w:gridCol w:w="770"/>
        <w:gridCol w:w="1050"/>
        <w:gridCol w:w="1320"/>
        <w:gridCol w:w="1530"/>
        <w:gridCol w:w="620"/>
        <w:gridCol w:w="680"/>
        <w:gridCol w:w="600"/>
      </w:tblGrid>
      <w:tr>
        <w:tblPrEx>
          <w:tblCellMar>
            <w:top w:w="0" w:type="dxa"/>
            <w:left w:w="0" w:type="dxa"/>
            <w:bottom w:w="0" w:type="dxa"/>
            <w:right w:w="0" w:type="dxa"/>
          </w:tblCellMar>
        </w:tblPrEx>
        <w:trPr>
          <w:trHeight w:val="490" w:hRule="exact"/>
        </w:trPr>
        <w:tc>
          <w:tcPr>
            <w:tcW w:w="457" w:type="dxa"/>
            <w:vMerge w:val="restart"/>
            <w:tcBorders>
              <w:top w:val="single" w:color="000000" w:sz="4" w:space="0"/>
              <w:left w:val="single" w:color="000000" w:sz="4" w:space="0"/>
              <w:right w:val="single" w:color="000000" w:sz="4" w:space="0"/>
            </w:tcBorders>
          </w:tcPr>
          <w:p>
            <w:pPr>
              <w:pStyle w:val="83"/>
              <w:rPr>
                <w:rFonts w:ascii="宋体" w:hAnsi="宋体" w:eastAsia="宋体" w:cs="宋体"/>
                <w:sz w:val="24"/>
                <w:szCs w:val="24"/>
              </w:rPr>
            </w:pPr>
          </w:p>
          <w:p>
            <w:pPr>
              <w:pStyle w:val="83"/>
              <w:spacing w:before="7"/>
              <w:rPr>
                <w:rFonts w:ascii="宋体" w:hAnsi="宋体" w:eastAsia="宋体" w:cs="宋体"/>
                <w:sz w:val="20"/>
                <w:szCs w:val="20"/>
              </w:rPr>
            </w:pPr>
          </w:p>
          <w:p>
            <w:pPr>
              <w:pStyle w:val="83"/>
              <w:ind w:left="179"/>
              <w:rPr>
                <w:rFonts w:ascii="宋体" w:hAnsi="宋体" w:eastAsia="宋体" w:cs="宋体"/>
                <w:sz w:val="24"/>
                <w:szCs w:val="24"/>
              </w:rPr>
            </w:pPr>
            <w:r>
              <w:rPr>
                <w:rFonts w:ascii="宋体" w:hAnsi="宋体" w:eastAsia="宋体" w:cs="宋体"/>
                <w:sz w:val="24"/>
                <w:szCs w:val="24"/>
              </w:rPr>
              <w:t>序号</w:t>
            </w:r>
          </w:p>
        </w:tc>
        <w:tc>
          <w:tcPr>
            <w:tcW w:w="910" w:type="dxa"/>
            <w:vMerge w:val="restart"/>
            <w:tcBorders>
              <w:top w:val="single" w:color="000000" w:sz="4" w:space="0"/>
              <w:left w:val="single" w:color="000000" w:sz="4" w:space="0"/>
              <w:right w:val="single" w:color="000000" w:sz="4" w:space="0"/>
            </w:tcBorders>
          </w:tcPr>
          <w:p>
            <w:pPr>
              <w:pStyle w:val="83"/>
              <w:spacing w:line="367" w:lineRule="auto"/>
              <w:ind w:right="320"/>
              <w:rPr>
                <w:rFonts w:ascii="宋体" w:hAnsi="宋体" w:eastAsia="宋体" w:cs="宋体"/>
                <w:sz w:val="24"/>
                <w:szCs w:val="24"/>
              </w:rPr>
            </w:pPr>
            <w:r>
              <w:rPr>
                <w:rFonts w:ascii="宋体" w:hAnsi="宋体" w:eastAsia="宋体" w:cs="宋体"/>
                <w:sz w:val="24"/>
                <w:szCs w:val="24"/>
              </w:rPr>
              <w:t>产品名称</w:t>
            </w:r>
          </w:p>
        </w:tc>
        <w:tc>
          <w:tcPr>
            <w:tcW w:w="1110" w:type="dxa"/>
            <w:vMerge w:val="restart"/>
            <w:tcBorders>
              <w:top w:val="single" w:color="000000" w:sz="4" w:space="0"/>
              <w:left w:val="single" w:color="000000" w:sz="4" w:space="0"/>
              <w:right w:val="single" w:color="000000" w:sz="4" w:space="0"/>
            </w:tcBorders>
          </w:tcPr>
          <w:p>
            <w:pPr>
              <w:pStyle w:val="83"/>
              <w:rPr>
                <w:rFonts w:ascii="宋体" w:hAnsi="宋体" w:eastAsia="宋体" w:cs="宋体"/>
                <w:sz w:val="24"/>
                <w:szCs w:val="24"/>
              </w:rPr>
            </w:pPr>
          </w:p>
          <w:p>
            <w:pPr>
              <w:pStyle w:val="83"/>
              <w:spacing w:before="7"/>
              <w:rPr>
                <w:rFonts w:ascii="宋体" w:hAnsi="宋体" w:eastAsia="宋体" w:cs="宋体"/>
                <w:sz w:val="20"/>
                <w:szCs w:val="20"/>
              </w:rPr>
            </w:pPr>
          </w:p>
          <w:p>
            <w:pPr>
              <w:pStyle w:val="83"/>
              <w:ind w:left="11"/>
              <w:rPr>
                <w:rFonts w:ascii="宋体" w:hAnsi="宋体" w:eastAsia="宋体" w:cs="宋体"/>
                <w:sz w:val="24"/>
                <w:szCs w:val="24"/>
              </w:rPr>
            </w:pPr>
            <w:r>
              <w:rPr>
                <w:rFonts w:ascii="宋体" w:hAnsi="宋体" w:eastAsia="宋体" w:cs="宋体"/>
                <w:sz w:val="24"/>
                <w:szCs w:val="24"/>
              </w:rPr>
              <w:t>企业名称</w:t>
            </w:r>
          </w:p>
        </w:tc>
        <w:tc>
          <w:tcPr>
            <w:tcW w:w="770" w:type="dxa"/>
            <w:vMerge w:val="restart"/>
            <w:tcBorders>
              <w:top w:val="single" w:color="000000" w:sz="4" w:space="0"/>
              <w:left w:val="single" w:color="000000" w:sz="4" w:space="0"/>
              <w:right w:val="single" w:color="000000" w:sz="4" w:space="0"/>
            </w:tcBorders>
          </w:tcPr>
          <w:p>
            <w:pPr>
              <w:pStyle w:val="83"/>
              <w:rPr>
                <w:rFonts w:ascii="宋体" w:hAnsi="宋体" w:eastAsia="宋体" w:cs="宋体"/>
                <w:sz w:val="24"/>
                <w:szCs w:val="24"/>
              </w:rPr>
            </w:pPr>
          </w:p>
          <w:p>
            <w:pPr>
              <w:pStyle w:val="83"/>
              <w:spacing w:before="7"/>
              <w:rPr>
                <w:rFonts w:ascii="宋体" w:hAnsi="宋体" w:eastAsia="宋体" w:cs="宋体"/>
                <w:sz w:val="20"/>
                <w:szCs w:val="20"/>
              </w:rPr>
            </w:pPr>
          </w:p>
          <w:p>
            <w:pPr>
              <w:pStyle w:val="83"/>
              <w:ind w:left="179"/>
              <w:rPr>
                <w:rFonts w:ascii="宋体" w:hAnsi="宋体" w:eastAsia="宋体" w:cs="宋体"/>
                <w:sz w:val="24"/>
                <w:szCs w:val="24"/>
              </w:rPr>
            </w:pPr>
            <w:r>
              <w:rPr>
                <w:rFonts w:ascii="宋体" w:hAnsi="宋体" w:eastAsia="宋体" w:cs="宋体"/>
                <w:sz w:val="24"/>
                <w:szCs w:val="24"/>
              </w:rPr>
              <w:t>品牌</w:t>
            </w:r>
          </w:p>
        </w:tc>
        <w:tc>
          <w:tcPr>
            <w:tcW w:w="1050" w:type="dxa"/>
            <w:vMerge w:val="restart"/>
            <w:tcBorders>
              <w:top w:val="single" w:color="000000" w:sz="4" w:space="0"/>
              <w:left w:val="single" w:color="000000" w:sz="4" w:space="0"/>
              <w:right w:val="single" w:color="000000" w:sz="4" w:space="0"/>
            </w:tcBorders>
          </w:tcPr>
          <w:p>
            <w:pPr>
              <w:pStyle w:val="83"/>
              <w:rPr>
                <w:rFonts w:ascii="宋体" w:hAnsi="宋体" w:eastAsia="宋体" w:cs="宋体"/>
                <w:sz w:val="24"/>
                <w:szCs w:val="24"/>
              </w:rPr>
            </w:pPr>
          </w:p>
          <w:p>
            <w:pPr>
              <w:pStyle w:val="83"/>
              <w:spacing w:before="7"/>
              <w:rPr>
                <w:rFonts w:ascii="宋体" w:hAnsi="宋体" w:eastAsia="宋体" w:cs="宋体"/>
                <w:sz w:val="20"/>
                <w:szCs w:val="20"/>
              </w:rPr>
            </w:pPr>
          </w:p>
          <w:p>
            <w:pPr>
              <w:pStyle w:val="83"/>
              <w:ind w:left="11"/>
              <w:rPr>
                <w:rFonts w:ascii="宋体" w:hAnsi="宋体" w:eastAsia="宋体" w:cs="宋体"/>
                <w:sz w:val="24"/>
                <w:szCs w:val="24"/>
              </w:rPr>
            </w:pPr>
            <w:r>
              <w:rPr>
                <w:rFonts w:ascii="宋体" w:hAnsi="宋体" w:eastAsia="宋体" w:cs="宋体"/>
                <w:sz w:val="24"/>
                <w:szCs w:val="24"/>
              </w:rPr>
              <w:t>规格型号</w:t>
            </w:r>
          </w:p>
        </w:tc>
        <w:tc>
          <w:tcPr>
            <w:tcW w:w="1320" w:type="dxa"/>
            <w:vMerge w:val="restart"/>
            <w:tcBorders>
              <w:top w:val="single" w:color="000000" w:sz="4" w:space="0"/>
              <w:left w:val="single" w:color="000000" w:sz="4" w:space="0"/>
              <w:right w:val="single" w:color="000000" w:sz="4" w:space="0"/>
            </w:tcBorders>
          </w:tcPr>
          <w:p>
            <w:pPr>
              <w:pStyle w:val="83"/>
              <w:spacing w:before="103" w:line="367" w:lineRule="auto"/>
              <w:ind w:left="104" w:right="102"/>
              <w:jc w:val="center"/>
              <w:rPr>
                <w:rFonts w:ascii="宋体" w:hAnsi="宋体" w:eastAsia="宋体" w:cs="宋体"/>
                <w:sz w:val="24"/>
                <w:szCs w:val="24"/>
                <w:lang w:eastAsia="zh-CN"/>
              </w:rPr>
            </w:pPr>
            <w:r>
              <w:rPr>
                <w:rFonts w:ascii="宋体" w:hAnsi="宋体" w:eastAsia="宋体" w:cs="宋体"/>
                <w:sz w:val="24"/>
                <w:szCs w:val="24"/>
                <w:lang w:eastAsia="zh-CN"/>
              </w:rPr>
              <w:t>中国环境标志认证证书</w:t>
            </w:r>
          </w:p>
          <w:p>
            <w:pPr>
              <w:pStyle w:val="83"/>
              <w:spacing w:before="38"/>
              <w:jc w:val="center"/>
              <w:rPr>
                <w:rFonts w:ascii="宋体" w:hAnsi="宋体" w:eastAsia="宋体" w:cs="宋体"/>
                <w:sz w:val="24"/>
                <w:szCs w:val="24"/>
                <w:lang w:eastAsia="zh-CN"/>
              </w:rPr>
            </w:pPr>
            <w:r>
              <w:rPr>
                <w:rFonts w:ascii="宋体" w:hAnsi="宋体" w:eastAsia="宋体" w:cs="宋体"/>
                <w:sz w:val="24"/>
                <w:szCs w:val="24"/>
                <w:lang w:eastAsia="zh-CN"/>
              </w:rPr>
              <w:t>编号</w:t>
            </w:r>
          </w:p>
        </w:tc>
        <w:tc>
          <w:tcPr>
            <w:tcW w:w="1530" w:type="dxa"/>
            <w:vMerge w:val="restart"/>
            <w:tcBorders>
              <w:top w:val="single" w:color="000000" w:sz="4" w:space="0"/>
              <w:left w:val="single" w:color="000000" w:sz="4" w:space="0"/>
              <w:right w:val="single" w:color="000000" w:sz="4" w:space="0"/>
            </w:tcBorders>
          </w:tcPr>
          <w:p>
            <w:pPr>
              <w:pStyle w:val="83"/>
              <w:spacing w:before="103" w:line="367" w:lineRule="auto"/>
              <w:ind w:left="102" w:right="103"/>
              <w:rPr>
                <w:rFonts w:ascii="宋体" w:hAnsi="宋体" w:eastAsia="宋体" w:cs="宋体"/>
                <w:sz w:val="24"/>
                <w:szCs w:val="24"/>
                <w:lang w:eastAsia="zh-CN"/>
              </w:rPr>
            </w:pPr>
            <w:r>
              <w:rPr>
                <w:rFonts w:ascii="宋体" w:hAnsi="宋体" w:eastAsia="宋体" w:cs="宋体"/>
                <w:sz w:val="24"/>
                <w:szCs w:val="24"/>
                <w:lang w:eastAsia="zh-CN"/>
              </w:rPr>
              <w:t>认证证书有效截止日期</w:t>
            </w:r>
          </w:p>
        </w:tc>
        <w:tc>
          <w:tcPr>
            <w:tcW w:w="1900" w:type="dxa"/>
            <w:gridSpan w:val="3"/>
            <w:tcBorders>
              <w:top w:val="single" w:color="000000" w:sz="4" w:space="0"/>
              <w:left w:val="single" w:color="000000" w:sz="4" w:space="0"/>
              <w:bottom w:val="single" w:color="000000" w:sz="4" w:space="0"/>
              <w:right w:val="single" w:color="000000" w:sz="4" w:space="0"/>
            </w:tcBorders>
          </w:tcPr>
          <w:p>
            <w:pPr>
              <w:pStyle w:val="83"/>
              <w:spacing w:before="103"/>
              <w:ind w:right="2"/>
              <w:jc w:val="center"/>
              <w:rPr>
                <w:rFonts w:ascii="宋体" w:hAnsi="宋体" w:eastAsia="宋体" w:cs="宋体"/>
                <w:sz w:val="24"/>
                <w:szCs w:val="24"/>
              </w:rPr>
            </w:pPr>
            <w:r>
              <w:rPr>
                <w:rFonts w:ascii="宋体" w:hAnsi="宋体" w:eastAsia="宋体" w:cs="宋体"/>
                <w:sz w:val="24"/>
                <w:szCs w:val="24"/>
              </w:rPr>
              <w:t>价格</w:t>
            </w:r>
          </w:p>
        </w:tc>
      </w:tr>
      <w:tr>
        <w:tblPrEx>
          <w:tblCellMar>
            <w:top w:w="0" w:type="dxa"/>
            <w:left w:w="0" w:type="dxa"/>
            <w:bottom w:w="0" w:type="dxa"/>
            <w:right w:w="0" w:type="dxa"/>
          </w:tblCellMar>
        </w:tblPrEx>
        <w:trPr>
          <w:trHeight w:val="960" w:hRule="exact"/>
        </w:trPr>
        <w:tc>
          <w:tcPr>
            <w:tcW w:w="457" w:type="dxa"/>
            <w:vMerge w:val="continue"/>
            <w:tcBorders>
              <w:left w:val="single" w:color="000000" w:sz="4" w:space="0"/>
              <w:bottom w:val="single" w:color="000000" w:sz="4" w:space="0"/>
              <w:right w:val="single" w:color="000000" w:sz="4" w:space="0"/>
            </w:tcBorders>
          </w:tcPr>
          <w:p/>
        </w:tc>
        <w:tc>
          <w:tcPr>
            <w:tcW w:w="910" w:type="dxa"/>
            <w:vMerge w:val="continue"/>
            <w:tcBorders>
              <w:left w:val="single" w:color="000000" w:sz="4" w:space="0"/>
              <w:bottom w:val="single" w:color="000000" w:sz="4" w:space="0"/>
              <w:right w:val="single" w:color="000000" w:sz="4" w:space="0"/>
            </w:tcBorders>
          </w:tcPr>
          <w:p/>
        </w:tc>
        <w:tc>
          <w:tcPr>
            <w:tcW w:w="1110" w:type="dxa"/>
            <w:vMerge w:val="continue"/>
            <w:tcBorders>
              <w:left w:val="single" w:color="000000" w:sz="4" w:space="0"/>
              <w:bottom w:val="single" w:color="000000" w:sz="4" w:space="0"/>
              <w:right w:val="single" w:color="000000" w:sz="4" w:space="0"/>
            </w:tcBorders>
          </w:tcPr>
          <w:p/>
        </w:tc>
        <w:tc>
          <w:tcPr>
            <w:tcW w:w="770" w:type="dxa"/>
            <w:vMerge w:val="continue"/>
            <w:tcBorders>
              <w:left w:val="single" w:color="000000" w:sz="4" w:space="0"/>
              <w:bottom w:val="single" w:color="000000" w:sz="4" w:space="0"/>
              <w:right w:val="single" w:color="000000" w:sz="4" w:space="0"/>
            </w:tcBorders>
          </w:tcPr>
          <w:p/>
        </w:tc>
        <w:tc>
          <w:tcPr>
            <w:tcW w:w="1050" w:type="dxa"/>
            <w:vMerge w:val="continue"/>
            <w:tcBorders>
              <w:left w:val="single" w:color="000000" w:sz="4" w:space="0"/>
              <w:bottom w:val="single" w:color="000000" w:sz="4" w:space="0"/>
              <w:right w:val="single" w:color="000000" w:sz="4" w:space="0"/>
            </w:tcBorders>
          </w:tcPr>
          <w:p/>
        </w:tc>
        <w:tc>
          <w:tcPr>
            <w:tcW w:w="1320" w:type="dxa"/>
            <w:vMerge w:val="continue"/>
            <w:tcBorders>
              <w:left w:val="single" w:color="000000" w:sz="4" w:space="0"/>
              <w:bottom w:val="single" w:color="000000" w:sz="4" w:space="0"/>
              <w:right w:val="single" w:color="000000" w:sz="4" w:space="0"/>
            </w:tcBorders>
          </w:tcPr>
          <w:p/>
        </w:tc>
        <w:tc>
          <w:tcPr>
            <w:tcW w:w="1530" w:type="dxa"/>
            <w:vMerge w:val="continue"/>
            <w:tcBorders>
              <w:left w:val="single" w:color="000000" w:sz="4" w:space="0"/>
              <w:bottom w:val="single" w:color="000000" w:sz="4" w:space="0"/>
              <w:right w:val="single" w:color="000000" w:sz="4" w:space="0"/>
            </w:tcBorders>
          </w:tcPr>
          <w:p/>
        </w:tc>
        <w:tc>
          <w:tcPr>
            <w:tcW w:w="620" w:type="dxa"/>
            <w:tcBorders>
              <w:top w:val="single" w:color="000000" w:sz="4" w:space="0"/>
              <w:left w:val="single" w:color="000000" w:sz="4" w:space="0"/>
              <w:bottom w:val="single" w:color="000000" w:sz="4" w:space="0"/>
              <w:right w:val="single" w:color="000000" w:sz="4" w:space="0"/>
            </w:tcBorders>
          </w:tcPr>
          <w:p>
            <w:pPr>
              <w:pStyle w:val="83"/>
              <w:rPr>
                <w:rFonts w:ascii="宋体" w:hAnsi="宋体" w:eastAsia="宋体" w:cs="宋体"/>
                <w:sz w:val="24"/>
                <w:szCs w:val="24"/>
              </w:rPr>
            </w:pPr>
            <w:r>
              <w:rPr>
                <w:rFonts w:ascii="宋体" w:hAnsi="宋体" w:eastAsia="宋体" w:cs="宋体"/>
                <w:sz w:val="24"/>
                <w:szCs w:val="24"/>
              </w:rPr>
              <w:t>单价</w:t>
            </w:r>
          </w:p>
        </w:tc>
        <w:tc>
          <w:tcPr>
            <w:tcW w:w="680" w:type="dxa"/>
            <w:tcBorders>
              <w:top w:val="single" w:color="000000" w:sz="4" w:space="0"/>
              <w:left w:val="single" w:color="000000" w:sz="4" w:space="0"/>
              <w:bottom w:val="single" w:color="000000" w:sz="4" w:space="0"/>
              <w:right w:val="single" w:color="000000" w:sz="4" w:space="0"/>
            </w:tcBorders>
          </w:tcPr>
          <w:p>
            <w:pPr>
              <w:pStyle w:val="83"/>
              <w:rPr>
                <w:rFonts w:ascii="宋体" w:hAnsi="宋体" w:eastAsia="宋体" w:cs="宋体"/>
                <w:sz w:val="24"/>
                <w:szCs w:val="24"/>
              </w:rPr>
            </w:pPr>
            <w:r>
              <w:rPr>
                <w:rFonts w:ascii="宋体" w:hAnsi="宋体" w:eastAsia="宋体" w:cs="宋体"/>
                <w:sz w:val="24"/>
                <w:szCs w:val="24"/>
              </w:rPr>
              <w:t>数量</w:t>
            </w:r>
          </w:p>
        </w:tc>
        <w:tc>
          <w:tcPr>
            <w:tcW w:w="600" w:type="dxa"/>
            <w:tcBorders>
              <w:top w:val="single" w:color="000000" w:sz="4" w:space="0"/>
              <w:left w:val="single" w:color="000000" w:sz="4" w:space="0"/>
              <w:bottom w:val="single" w:color="000000" w:sz="4" w:space="0"/>
              <w:right w:val="single" w:color="000000" w:sz="4" w:space="0"/>
            </w:tcBorders>
          </w:tcPr>
          <w:p>
            <w:pPr>
              <w:pStyle w:val="83"/>
              <w:rPr>
                <w:rFonts w:ascii="宋体" w:hAnsi="宋体" w:eastAsia="宋体" w:cs="宋体"/>
                <w:sz w:val="24"/>
                <w:szCs w:val="24"/>
              </w:rPr>
            </w:pPr>
            <w:r>
              <w:rPr>
                <w:rFonts w:ascii="宋体" w:hAnsi="宋体" w:eastAsia="宋体" w:cs="宋体"/>
                <w:sz w:val="24"/>
                <w:szCs w:val="24"/>
              </w:rPr>
              <w:t>小计</w:t>
            </w:r>
          </w:p>
        </w:tc>
      </w:tr>
      <w:tr>
        <w:tblPrEx>
          <w:tblCellMar>
            <w:top w:w="0" w:type="dxa"/>
            <w:left w:w="0" w:type="dxa"/>
            <w:bottom w:w="0" w:type="dxa"/>
            <w:right w:w="0" w:type="dxa"/>
          </w:tblCellMar>
        </w:tblPrEx>
        <w:trPr>
          <w:trHeight w:val="490" w:hRule="exact"/>
        </w:trPr>
        <w:tc>
          <w:tcPr>
            <w:tcW w:w="457" w:type="dxa"/>
            <w:tcBorders>
              <w:top w:val="single" w:color="000000" w:sz="4" w:space="0"/>
              <w:left w:val="single" w:color="000000" w:sz="4" w:space="0"/>
              <w:bottom w:val="single" w:color="000000" w:sz="4" w:space="0"/>
              <w:right w:val="single" w:color="000000" w:sz="4" w:space="0"/>
            </w:tcBorders>
          </w:tcPr>
          <w:p>
            <w:pPr>
              <w:pStyle w:val="83"/>
              <w:spacing w:before="103"/>
              <w:ind w:right="240"/>
              <w:jc w:val="center"/>
              <w:rPr>
                <w:rFonts w:ascii="宋体" w:hAnsi="宋体" w:eastAsia="宋体" w:cs="宋体"/>
                <w:sz w:val="24"/>
                <w:szCs w:val="24"/>
              </w:rPr>
            </w:pPr>
            <w:r>
              <w:rPr>
                <w:rFonts w:ascii="宋体"/>
                <w:sz w:val="24"/>
              </w:rPr>
              <w:t>1</w:t>
            </w:r>
          </w:p>
        </w:tc>
        <w:tc>
          <w:tcPr>
            <w:tcW w:w="910" w:type="dxa"/>
            <w:tcBorders>
              <w:top w:val="single" w:color="000000" w:sz="4" w:space="0"/>
              <w:left w:val="single" w:color="000000" w:sz="4" w:space="0"/>
              <w:bottom w:val="single" w:color="000000" w:sz="4" w:space="0"/>
              <w:right w:val="single" w:color="000000" w:sz="4" w:space="0"/>
            </w:tcBorders>
          </w:tcPr>
          <w:p/>
        </w:tc>
        <w:tc>
          <w:tcPr>
            <w:tcW w:w="1110"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050" w:type="dxa"/>
            <w:tcBorders>
              <w:top w:val="single" w:color="000000" w:sz="4" w:space="0"/>
              <w:left w:val="single" w:color="000000" w:sz="4" w:space="0"/>
              <w:bottom w:val="single" w:color="000000" w:sz="4" w:space="0"/>
              <w:right w:val="single" w:color="000000" w:sz="4" w:space="0"/>
            </w:tcBorders>
          </w:tcPr>
          <w:p/>
        </w:tc>
        <w:tc>
          <w:tcPr>
            <w:tcW w:w="1320" w:type="dxa"/>
            <w:tcBorders>
              <w:top w:val="single" w:color="000000" w:sz="4" w:space="0"/>
              <w:left w:val="single" w:color="000000" w:sz="4" w:space="0"/>
              <w:bottom w:val="single" w:color="000000" w:sz="4" w:space="0"/>
              <w:right w:val="single" w:color="000000" w:sz="4" w:space="0"/>
            </w:tcBorders>
          </w:tcPr>
          <w:p/>
        </w:tc>
        <w:tc>
          <w:tcPr>
            <w:tcW w:w="1530" w:type="dxa"/>
            <w:tcBorders>
              <w:top w:val="single" w:color="000000" w:sz="4" w:space="0"/>
              <w:left w:val="single" w:color="000000" w:sz="4" w:space="0"/>
              <w:bottom w:val="single" w:color="000000" w:sz="4" w:space="0"/>
              <w:right w:val="single" w:color="000000" w:sz="4" w:space="0"/>
            </w:tcBorders>
          </w:tcPr>
          <w:p/>
        </w:tc>
        <w:tc>
          <w:tcPr>
            <w:tcW w:w="620" w:type="dxa"/>
            <w:tcBorders>
              <w:top w:val="single" w:color="000000" w:sz="4" w:space="0"/>
              <w:left w:val="single" w:color="000000" w:sz="4" w:space="0"/>
              <w:bottom w:val="single" w:color="000000" w:sz="4" w:space="0"/>
              <w:right w:val="single" w:color="000000" w:sz="4" w:space="0"/>
            </w:tcBorders>
          </w:tcPr>
          <w:p/>
        </w:tc>
        <w:tc>
          <w:tcPr>
            <w:tcW w:w="680" w:type="dxa"/>
            <w:tcBorders>
              <w:top w:val="single" w:color="000000" w:sz="4" w:space="0"/>
              <w:left w:val="single" w:color="000000" w:sz="4" w:space="0"/>
              <w:bottom w:val="single" w:color="000000" w:sz="4" w:space="0"/>
              <w:right w:val="single" w:color="000000" w:sz="4" w:space="0"/>
            </w:tcBorders>
          </w:tcPr>
          <w:p/>
        </w:tc>
        <w:tc>
          <w:tcPr>
            <w:tcW w:w="6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trPr>
        <w:tc>
          <w:tcPr>
            <w:tcW w:w="457" w:type="dxa"/>
            <w:tcBorders>
              <w:top w:val="single" w:color="000000" w:sz="4" w:space="0"/>
              <w:left w:val="single" w:color="000000" w:sz="4" w:space="0"/>
              <w:bottom w:val="single" w:color="000000" w:sz="4" w:space="0"/>
              <w:right w:val="single" w:color="000000" w:sz="4" w:space="0"/>
            </w:tcBorders>
          </w:tcPr>
          <w:p>
            <w:pPr>
              <w:pStyle w:val="83"/>
              <w:spacing w:before="105"/>
              <w:ind w:right="240"/>
              <w:jc w:val="center"/>
              <w:rPr>
                <w:rFonts w:ascii="宋体" w:hAnsi="宋体" w:eastAsia="宋体" w:cs="宋体"/>
                <w:sz w:val="24"/>
                <w:szCs w:val="24"/>
              </w:rPr>
            </w:pPr>
            <w:r>
              <w:rPr>
                <w:rFonts w:ascii="宋体"/>
                <w:sz w:val="24"/>
              </w:rPr>
              <w:t>2</w:t>
            </w:r>
          </w:p>
        </w:tc>
        <w:tc>
          <w:tcPr>
            <w:tcW w:w="910" w:type="dxa"/>
            <w:tcBorders>
              <w:top w:val="single" w:color="000000" w:sz="4" w:space="0"/>
              <w:left w:val="single" w:color="000000" w:sz="4" w:space="0"/>
              <w:bottom w:val="single" w:color="000000" w:sz="4" w:space="0"/>
              <w:right w:val="single" w:color="000000" w:sz="4" w:space="0"/>
            </w:tcBorders>
          </w:tcPr>
          <w:p/>
        </w:tc>
        <w:tc>
          <w:tcPr>
            <w:tcW w:w="1110"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050" w:type="dxa"/>
            <w:tcBorders>
              <w:top w:val="single" w:color="000000" w:sz="4" w:space="0"/>
              <w:left w:val="single" w:color="000000" w:sz="4" w:space="0"/>
              <w:bottom w:val="single" w:color="000000" w:sz="4" w:space="0"/>
              <w:right w:val="single" w:color="000000" w:sz="4" w:space="0"/>
            </w:tcBorders>
          </w:tcPr>
          <w:p/>
        </w:tc>
        <w:tc>
          <w:tcPr>
            <w:tcW w:w="1320" w:type="dxa"/>
            <w:tcBorders>
              <w:top w:val="single" w:color="000000" w:sz="4" w:space="0"/>
              <w:left w:val="single" w:color="000000" w:sz="4" w:space="0"/>
              <w:bottom w:val="single" w:color="000000" w:sz="4" w:space="0"/>
              <w:right w:val="single" w:color="000000" w:sz="4" w:space="0"/>
            </w:tcBorders>
          </w:tcPr>
          <w:p/>
        </w:tc>
        <w:tc>
          <w:tcPr>
            <w:tcW w:w="1530" w:type="dxa"/>
            <w:tcBorders>
              <w:top w:val="single" w:color="000000" w:sz="4" w:space="0"/>
              <w:left w:val="single" w:color="000000" w:sz="4" w:space="0"/>
              <w:bottom w:val="single" w:color="000000" w:sz="4" w:space="0"/>
              <w:right w:val="single" w:color="000000" w:sz="4" w:space="0"/>
            </w:tcBorders>
          </w:tcPr>
          <w:p/>
        </w:tc>
        <w:tc>
          <w:tcPr>
            <w:tcW w:w="620" w:type="dxa"/>
            <w:tcBorders>
              <w:top w:val="single" w:color="000000" w:sz="4" w:space="0"/>
              <w:left w:val="single" w:color="000000" w:sz="4" w:space="0"/>
              <w:bottom w:val="single" w:color="000000" w:sz="4" w:space="0"/>
              <w:right w:val="single" w:color="000000" w:sz="4" w:space="0"/>
            </w:tcBorders>
          </w:tcPr>
          <w:p/>
        </w:tc>
        <w:tc>
          <w:tcPr>
            <w:tcW w:w="680" w:type="dxa"/>
            <w:tcBorders>
              <w:top w:val="single" w:color="000000" w:sz="4" w:space="0"/>
              <w:left w:val="single" w:color="000000" w:sz="4" w:space="0"/>
              <w:bottom w:val="single" w:color="000000" w:sz="4" w:space="0"/>
              <w:right w:val="single" w:color="000000" w:sz="4" w:space="0"/>
            </w:tcBorders>
          </w:tcPr>
          <w:p/>
        </w:tc>
        <w:tc>
          <w:tcPr>
            <w:tcW w:w="6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trPr>
        <w:tc>
          <w:tcPr>
            <w:tcW w:w="457" w:type="dxa"/>
            <w:tcBorders>
              <w:top w:val="single" w:color="000000" w:sz="4" w:space="0"/>
              <w:left w:val="single" w:color="000000" w:sz="4" w:space="0"/>
              <w:bottom w:val="single" w:color="000000" w:sz="4" w:space="0"/>
              <w:right w:val="single" w:color="000000" w:sz="4" w:space="0"/>
            </w:tcBorders>
          </w:tcPr>
          <w:p>
            <w:pPr>
              <w:pStyle w:val="83"/>
              <w:spacing w:before="104"/>
              <w:ind w:right="240"/>
              <w:jc w:val="center"/>
              <w:rPr>
                <w:rFonts w:ascii="宋体" w:hAnsi="宋体" w:eastAsia="宋体" w:cs="宋体"/>
                <w:sz w:val="24"/>
                <w:szCs w:val="24"/>
              </w:rPr>
            </w:pPr>
            <w:r>
              <w:rPr>
                <w:rFonts w:ascii="宋体"/>
                <w:sz w:val="24"/>
              </w:rPr>
              <w:t>3</w:t>
            </w:r>
          </w:p>
        </w:tc>
        <w:tc>
          <w:tcPr>
            <w:tcW w:w="910" w:type="dxa"/>
            <w:tcBorders>
              <w:top w:val="single" w:color="000000" w:sz="4" w:space="0"/>
              <w:left w:val="single" w:color="000000" w:sz="4" w:space="0"/>
              <w:bottom w:val="single" w:color="000000" w:sz="4" w:space="0"/>
              <w:right w:val="single" w:color="000000" w:sz="4" w:space="0"/>
            </w:tcBorders>
          </w:tcPr>
          <w:p/>
        </w:tc>
        <w:tc>
          <w:tcPr>
            <w:tcW w:w="1110"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050" w:type="dxa"/>
            <w:tcBorders>
              <w:top w:val="single" w:color="000000" w:sz="4" w:space="0"/>
              <w:left w:val="single" w:color="000000" w:sz="4" w:space="0"/>
              <w:bottom w:val="single" w:color="000000" w:sz="4" w:space="0"/>
              <w:right w:val="single" w:color="000000" w:sz="4" w:space="0"/>
            </w:tcBorders>
          </w:tcPr>
          <w:p/>
        </w:tc>
        <w:tc>
          <w:tcPr>
            <w:tcW w:w="1320" w:type="dxa"/>
            <w:tcBorders>
              <w:top w:val="single" w:color="000000" w:sz="4" w:space="0"/>
              <w:left w:val="single" w:color="000000" w:sz="4" w:space="0"/>
              <w:bottom w:val="single" w:color="000000" w:sz="4" w:space="0"/>
              <w:right w:val="single" w:color="000000" w:sz="4" w:space="0"/>
            </w:tcBorders>
          </w:tcPr>
          <w:p/>
        </w:tc>
        <w:tc>
          <w:tcPr>
            <w:tcW w:w="1530" w:type="dxa"/>
            <w:tcBorders>
              <w:top w:val="single" w:color="000000" w:sz="4" w:space="0"/>
              <w:left w:val="single" w:color="000000" w:sz="4" w:space="0"/>
              <w:bottom w:val="single" w:color="000000" w:sz="4" w:space="0"/>
              <w:right w:val="single" w:color="000000" w:sz="4" w:space="0"/>
            </w:tcBorders>
          </w:tcPr>
          <w:p/>
        </w:tc>
        <w:tc>
          <w:tcPr>
            <w:tcW w:w="620" w:type="dxa"/>
            <w:tcBorders>
              <w:top w:val="single" w:color="000000" w:sz="4" w:space="0"/>
              <w:left w:val="single" w:color="000000" w:sz="4" w:space="0"/>
              <w:bottom w:val="single" w:color="000000" w:sz="4" w:space="0"/>
              <w:right w:val="single" w:color="000000" w:sz="4" w:space="0"/>
            </w:tcBorders>
          </w:tcPr>
          <w:p/>
        </w:tc>
        <w:tc>
          <w:tcPr>
            <w:tcW w:w="680" w:type="dxa"/>
            <w:tcBorders>
              <w:top w:val="single" w:color="000000" w:sz="4" w:space="0"/>
              <w:left w:val="single" w:color="000000" w:sz="4" w:space="0"/>
              <w:bottom w:val="single" w:color="000000" w:sz="4" w:space="0"/>
              <w:right w:val="single" w:color="000000" w:sz="4" w:space="0"/>
            </w:tcBorders>
          </w:tcPr>
          <w:p/>
        </w:tc>
        <w:tc>
          <w:tcPr>
            <w:tcW w:w="6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trPr>
        <w:tc>
          <w:tcPr>
            <w:tcW w:w="457" w:type="dxa"/>
            <w:tcBorders>
              <w:top w:val="single" w:color="000000" w:sz="4" w:space="0"/>
              <w:left w:val="single" w:color="000000" w:sz="4" w:space="0"/>
              <w:bottom w:val="single" w:color="000000" w:sz="4" w:space="0"/>
              <w:right w:val="single" w:color="000000" w:sz="4" w:space="0"/>
            </w:tcBorders>
          </w:tcPr>
          <w:p>
            <w:pPr>
              <w:pStyle w:val="83"/>
              <w:spacing w:before="104"/>
              <w:ind w:right="240"/>
              <w:jc w:val="center"/>
              <w:rPr>
                <w:rFonts w:ascii="宋体" w:hAnsi="宋体" w:eastAsia="宋体" w:cs="宋体"/>
                <w:sz w:val="24"/>
                <w:szCs w:val="24"/>
              </w:rPr>
            </w:pPr>
            <w:r>
              <w:rPr>
                <w:rFonts w:ascii="宋体"/>
                <w:sz w:val="24"/>
              </w:rPr>
              <w:t>4</w:t>
            </w:r>
          </w:p>
        </w:tc>
        <w:tc>
          <w:tcPr>
            <w:tcW w:w="910" w:type="dxa"/>
            <w:tcBorders>
              <w:top w:val="single" w:color="000000" w:sz="4" w:space="0"/>
              <w:left w:val="single" w:color="000000" w:sz="4" w:space="0"/>
              <w:bottom w:val="single" w:color="000000" w:sz="4" w:space="0"/>
              <w:right w:val="single" w:color="000000" w:sz="4" w:space="0"/>
            </w:tcBorders>
          </w:tcPr>
          <w:p/>
        </w:tc>
        <w:tc>
          <w:tcPr>
            <w:tcW w:w="1110"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050" w:type="dxa"/>
            <w:tcBorders>
              <w:top w:val="single" w:color="000000" w:sz="4" w:space="0"/>
              <w:left w:val="single" w:color="000000" w:sz="4" w:space="0"/>
              <w:bottom w:val="single" w:color="000000" w:sz="4" w:space="0"/>
              <w:right w:val="single" w:color="000000" w:sz="4" w:space="0"/>
            </w:tcBorders>
          </w:tcPr>
          <w:p/>
        </w:tc>
        <w:tc>
          <w:tcPr>
            <w:tcW w:w="1320" w:type="dxa"/>
            <w:tcBorders>
              <w:top w:val="single" w:color="000000" w:sz="4" w:space="0"/>
              <w:left w:val="single" w:color="000000" w:sz="4" w:space="0"/>
              <w:bottom w:val="single" w:color="000000" w:sz="4" w:space="0"/>
              <w:right w:val="single" w:color="000000" w:sz="4" w:space="0"/>
            </w:tcBorders>
          </w:tcPr>
          <w:p/>
        </w:tc>
        <w:tc>
          <w:tcPr>
            <w:tcW w:w="1530" w:type="dxa"/>
            <w:tcBorders>
              <w:top w:val="single" w:color="000000" w:sz="4" w:space="0"/>
              <w:left w:val="single" w:color="000000" w:sz="4" w:space="0"/>
              <w:bottom w:val="single" w:color="000000" w:sz="4" w:space="0"/>
              <w:right w:val="single" w:color="000000" w:sz="4" w:space="0"/>
            </w:tcBorders>
          </w:tcPr>
          <w:p/>
        </w:tc>
        <w:tc>
          <w:tcPr>
            <w:tcW w:w="620" w:type="dxa"/>
            <w:tcBorders>
              <w:top w:val="single" w:color="000000" w:sz="4" w:space="0"/>
              <w:left w:val="single" w:color="000000" w:sz="4" w:space="0"/>
              <w:bottom w:val="single" w:color="000000" w:sz="4" w:space="0"/>
              <w:right w:val="single" w:color="000000" w:sz="4" w:space="0"/>
            </w:tcBorders>
          </w:tcPr>
          <w:p/>
        </w:tc>
        <w:tc>
          <w:tcPr>
            <w:tcW w:w="680" w:type="dxa"/>
            <w:tcBorders>
              <w:top w:val="single" w:color="000000" w:sz="4" w:space="0"/>
              <w:left w:val="single" w:color="000000" w:sz="4" w:space="0"/>
              <w:bottom w:val="single" w:color="000000" w:sz="4" w:space="0"/>
              <w:right w:val="single" w:color="000000" w:sz="4" w:space="0"/>
            </w:tcBorders>
          </w:tcPr>
          <w:p/>
        </w:tc>
        <w:tc>
          <w:tcPr>
            <w:tcW w:w="6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trPr>
        <w:tc>
          <w:tcPr>
            <w:tcW w:w="457" w:type="dxa"/>
            <w:tcBorders>
              <w:top w:val="single" w:color="000000" w:sz="4" w:space="0"/>
              <w:left w:val="single" w:color="000000" w:sz="4" w:space="0"/>
              <w:bottom w:val="single" w:color="000000" w:sz="4" w:space="0"/>
              <w:right w:val="single" w:color="000000" w:sz="4" w:space="0"/>
            </w:tcBorders>
          </w:tcPr>
          <w:p>
            <w:pPr>
              <w:pStyle w:val="83"/>
              <w:spacing w:before="103"/>
              <w:ind w:left="-1" w:right="360"/>
              <w:jc w:val="center"/>
              <w:rPr>
                <w:rFonts w:ascii="宋体" w:hAnsi="宋体" w:eastAsia="宋体" w:cs="宋体"/>
                <w:sz w:val="24"/>
                <w:szCs w:val="24"/>
              </w:rPr>
            </w:pPr>
            <w:r>
              <w:rPr>
                <w:rFonts w:ascii="宋体"/>
                <w:sz w:val="24"/>
              </w:rPr>
              <w:t>....</w:t>
            </w:r>
          </w:p>
        </w:tc>
        <w:tc>
          <w:tcPr>
            <w:tcW w:w="910" w:type="dxa"/>
            <w:tcBorders>
              <w:top w:val="single" w:color="000000" w:sz="4" w:space="0"/>
              <w:left w:val="single" w:color="000000" w:sz="4" w:space="0"/>
              <w:bottom w:val="single" w:color="000000" w:sz="4" w:space="0"/>
              <w:right w:val="single" w:color="000000" w:sz="4" w:space="0"/>
            </w:tcBorders>
          </w:tcPr>
          <w:p/>
        </w:tc>
        <w:tc>
          <w:tcPr>
            <w:tcW w:w="1110"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1050" w:type="dxa"/>
            <w:tcBorders>
              <w:top w:val="single" w:color="000000" w:sz="4" w:space="0"/>
              <w:left w:val="single" w:color="000000" w:sz="4" w:space="0"/>
              <w:bottom w:val="single" w:color="000000" w:sz="4" w:space="0"/>
              <w:right w:val="single" w:color="000000" w:sz="4" w:space="0"/>
            </w:tcBorders>
          </w:tcPr>
          <w:p/>
        </w:tc>
        <w:tc>
          <w:tcPr>
            <w:tcW w:w="1320" w:type="dxa"/>
            <w:tcBorders>
              <w:top w:val="single" w:color="000000" w:sz="4" w:space="0"/>
              <w:left w:val="single" w:color="000000" w:sz="4" w:space="0"/>
              <w:bottom w:val="single" w:color="000000" w:sz="4" w:space="0"/>
              <w:right w:val="single" w:color="000000" w:sz="4" w:space="0"/>
            </w:tcBorders>
          </w:tcPr>
          <w:p/>
        </w:tc>
        <w:tc>
          <w:tcPr>
            <w:tcW w:w="1530" w:type="dxa"/>
            <w:tcBorders>
              <w:top w:val="single" w:color="000000" w:sz="4" w:space="0"/>
              <w:left w:val="single" w:color="000000" w:sz="4" w:space="0"/>
              <w:bottom w:val="single" w:color="000000" w:sz="4" w:space="0"/>
              <w:right w:val="single" w:color="000000" w:sz="4" w:space="0"/>
            </w:tcBorders>
          </w:tcPr>
          <w:p/>
        </w:tc>
        <w:tc>
          <w:tcPr>
            <w:tcW w:w="620" w:type="dxa"/>
            <w:tcBorders>
              <w:top w:val="single" w:color="000000" w:sz="4" w:space="0"/>
              <w:left w:val="single" w:color="000000" w:sz="4" w:space="0"/>
              <w:bottom w:val="single" w:color="000000" w:sz="4" w:space="0"/>
              <w:right w:val="single" w:color="000000" w:sz="4" w:space="0"/>
            </w:tcBorders>
          </w:tcPr>
          <w:p/>
        </w:tc>
        <w:tc>
          <w:tcPr>
            <w:tcW w:w="680" w:type="dxa"/>
            <w:tcBorders>
              <w:top w:val="single" w:color="000000" w:sz="4" w:space="0"/>
              <w:left w:val="single" w:color="000000" w:sz="4" w:space="0"/>
              <w:bottom w:val="single" w:color="000000" w:sz="4" w:space="0"/>
              <w:right w:val="single" w:color="000000" w:sz="4" w:space="0"/>
            </w:tcBorders>
          </w:tcPr>
          <w:p/>
        </w:tc>
        <w:tc>
          <w:tcPr>
            <w:tcW w:w="600"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0" w:hRule="exact"/>
        </w:trPr>
        <w:tc>
          <w:tcPr>
            <w:tcW w:w="1367" w:type="dxa"/>
            <w:gridSpan w:val="2"/>
            <w:tcBorders>
              <w:top w:val="single" w:color="000000" w:sz="4" w:space="0"/>
              <w:left w:val="single" w:color="000000" w:sz="4" w:space="0"/>
              <w:bottom w:val="single" w:color="000000" w:sz="4" w:space="0"/>
              <w:right w:val="single" w:color="000000" w:sz="4" w:space="0"/>
            </w:tcBorders>
          </w:tcPr>
          <w:p>
            <w:pPr>
              <w:pStyle w:val="83"/>
              <w:spacing w:before="103"/>
              <w:ind w:left="239"/>
              <w:rPr>
                <w:rFonts w:ascii="宋体" w:hAnsi="宋体" w:eastAsia="宋体" w:cs="宋体"/>
                <w:sz w:val="24"/>
                <w:szCs w:val="24"/>
              </w:rPr>
            </w:pPr>
            <w:r>
              <w:rPr>
                <w:rFonts w:ascii="宋体" w:hAnsi="宋体" w:eastAsia="宋体" w:cs="宋体"/>
                <w:sz w:val="24"/>
                <w:szCs w:val="24"/>
              </w:rPr>
              <w:t>合计</w:t>
            </w:r>
          </w:p>
        </w:tc>
        <w:tc>
          <w:tcPr>
            <w:tcW w:w="1110" w:type="dxa"/>
            <w:tcBorders>
              <w:top w:val="single" w:color="000000" w:sz="4" w:space="0"/>
              <w:left w:val="single" w:color="000000" w:sz="4" w:space="0"/>
              <w:bottom w:val="single" w:color="000000" w:sz="4" w:space="0"/>
              <w:right w:val="single" w:color="000000" w:sz="4" w:space="0"/>
            </w:tcBorders>
          </w:tcPr>
          <w:p/>
        </w:tc>
        <w:tc>
          <w:tcPr>
            <w:tcW w:w="770" w:type="dxa"/>
            <w:tcBorders>
              <w:top w:val="single" w:color="000000" w:sz="4" w:space="0"/>
              <w:left w:val="single" w:color="000000" w:sz="4" w:space="0"/>
              <w:bottom w:val="single" w:color="000000" w:sz="4" w:space="0"/>
              <w:right w:val="single" w:color="000000" w:sz="4" w:space="0"/>
            </w:tcBorders>
          </w:tcPr>
          <w:p/>
        </w:tc>
        <w:tc>
          <w:tcPr>
            <w:tcW w:w="5800" w:type="dxa"/>
            <w:gridSpan w:val="6"/>
            <w:tcBorders>
              <w:top w:val="single" w:color="000000" w:sz="4" w:space="0"/>
              <w:left w:val="single" w:color="000000" w:sz="4" w:space="0"/>
              <w:bottom w:val="single" w:color="000000" w:sz="4" w:space="0"/>
              <w:right w:val="single" w:color="000000" w:sz="4" w:space="0"/>
            </w:tcBorders>
          </w:tcPr>
          <w:p/>
        </w:tc>
      </w:tr>
    </w:tbl>
    <w:p>
      <w:pPr>
        <w:pStyle w:val="15"/>
      </w:pPr>
    </w:p>
    <w:p>
      <w:pPr>
        <w:pStyle w:val="7"/>
        <w:spacing w:before="26" w:line="367" w:lineRule="auto"/>
        <w:ind w:left="958" w:firstLine="240"/>
        <w:rPr>
          <w:b w:val="0"/>
          <w:bCs w:val="0"/>
          <w:lang w:eastAsia="zh-CN"/>
        </w:rPr>
      </w:pPr>
      <w:r>
        <w:rPr>
          <w:b w:val="0"/>
          <w:bCs w:val="0"/>
          <w:spacing w:val="2"/>
          <w:w w:val="95"/>
          <w:lang w:eastAsia="zh-CN"/>
        </w:rPr>
        <w:t>说明：1、环保产品是指中国政府采购网发布的最新一期《环境标志产品政府采购清</w:t>
      </w:r>
      <w:r>
        <w:rPr>
          <w:b w:val="0"/>
          <w:bCs w:val="0"/>
          <w:spacing w:val="59"/>
          <w:w w:val="95"/>
          <w:lang w:eastAsia="zh-CN"/>
        </w:rPr>
        <w:t xml:space="preserve"> </w:t>
      </w:r>
      <w:r>
        <w:rPr>
          <w:b w:val="0"/>
          <w:bCs w:val="0"/>
          <w:lang w:eastAsia="zh-CN"/>
        </w:rPr>
        <w:t>单》目录内的产品，并附截图。</w:t>
      </w:r>
    </w:p>
    <w:p>
      <w:pPr>
        <w:spacing w:before="38"/>
        <w:ind w:left="1920"/>
        <w:rPr>
          <w:rFonts w:ascii="宋体" w:hAnsi="宋体" w:eastAsia="宋体" w:cs="宋体"/>
          <w:sz w:val="24"/>
          <w:szCs w:val="24"/>
          <w:lang w:eastAsia="zh-CN"/>
        </w:rPr>
      </w:pPr>
      <w:r>
        <w:rPr>
          <w:rFonts w:ascii="宋体" w:hAnsi="宋体" w:eastAsia="宋体" w:cs="宋体"/>
          <w:sz w:val="24"/>
          <w:szCs w:val="24"/>
          <w:lang w:eastAsia="zh-CN"/>
        </w:rPr>
        <w:t>2、表中内容为本次采购中涉及的证书有效期内的环境标志产品。</w:t>
      </w:r>
    </w:p>
    <w:p>
      <w:pPr>
        <w:spacing w:before="166" w:line="367" w:lineRule="auto"/>
        <w:ind w:left="958" w:firstLine="962"/>
        <w:rPr>
          <w:rFonts w:ascii="宋体" w:hAnsi="宋体" w:eastAsia="宋体" w:cs="宋体"/>
          <w:sz w:val="24"/>
          <w:szCs w:val="24"/>
          <w:lang w:eastAsia="zh-CN"/>
        </w:rPr>
      </w:pPr>
      <w:r>
        <w:rPr>
          <w:rFonts w:ascii="宋体" w:hAnsi="宋体" w:eastAsia="宋体" w:cs="宋体"/>
          <w:spacing w:val="10"/>
          <w:w w:val="95"/>
          <w:sz w:val="24"/>
          <w:szCs w:val="24"/>
          <w:lang w:eastAsia="zh-CN"/>
        </w:rPr>
        <w:t>3、如所投产品为环保产品，应当按规定格式逐项填写，否则评审时不予加</w:t>
      </w:r>
      <w:r>
        <w:rPr>
          <w:rFonts w:ascii="宋体" w:hAnsi="宋体" w:eastAsia="宋体" w:cs="宋体"/>
          <w:w w:val="99"/>
          <w:sz w:val="24"/>
          <w:szCs w:val="24"/>
          <w:lang w:eastAsia="zh-CN"/>
        </w:rPr>
        <w:t xml:space="preserve"> </w:t>
      </w:r>
      <w:r>
        <w:rPr>
          <w:rFonts w:ascii="宋体" w:hAnsi="宋体" w:eastAsia="宋体" w:cs="宋体"/>
          <w:sz w:val="24"/>
          <w:szCs w:val="24"/>
          <w:lang w:eastAsia="zh-CN"/>
        </w:rPr>
        <w:t>分。如所投产品不是环保产品，则不需填写本表。</w:t>
      </w: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rPr>
          <w:rFonts w:ascii="宋体" w:hAnsi="宋体" w:eastAsia="宋体" w:cs="宋体"/>
          <w:b/>
          <w:bCs/>
          <w:sz w:val="24"/>
          <w:szCs w:val="24"/>
          <w:lang w:eastAsia="zh-CN"/>
        </w:rPr>
      </w:pPr>
    </w:p>
    <w:p>
      <w:pPr>
        <w:pStyle w:val="2"/>
        <w:spacing w:before="209" w:line="336" w:lineRule="auto"/>
        <w:ind w:left="1198" w:right="6068"/>
        <w:rPr>
          <w:lang w:eastAsia="zh-CN"/>
        </w:rPr>
      </w:pPr>
      <w:r>
        <w:rPr>
          <w:lang w:eastAsia="zh-CN"/>
        </w:rPr>
        <w:t>供应商 （公章</w:t>
      </w:r>
      <w:r>
        <w:rPr>
          <w:spacing w:val="-120"/>
          <w:lang w:eastAsia="zh-CN"/>
        </w:rPr>
        <w:t>）</w:t>
      </w:r>
      <w:r>
        <w:rPr>
          <w:lang w:eastAsia="zh-CN"/>
        </w:rPr>
        <w:t xml:space="preserve">： </w:t>
      </w:r>
    </w:p>
    <w:p>
      <w:pPr>
        <w:ind w:firstLine="1200" w:firstLineChars="500"/>
        <w:rPr>
          <w:sz w:val="24"/>
          <w:szCs w:val="24"/>
          <w:lang w:eastAsia="zh-CN"/>
        </w:rPr>
      </w:pPr>
      <w:r>
        <w:rPr>
          <w:sz w:val="24"/>
          <w:szCs w:val="24"/>
          <w:lang w:eastAsia="zh-CN"/>
        </w:rPr>
        <w:t>法定代表人或授权代理人：（签字）</w:t>
      </w:r>
    </w:p>
    <w:p>
      <w:pPr>
        <w:spacing w:before="13"/>
        <w:rPr>
          <w:rFonts w:ascii="宋体" w:hAnsi="宋体" w:eastAsia="宋体" w:cs="宋体"/>
          <w:sz w:val="35"/>
          <w:szCs w:val="35"/>
          <w:lang w:eastAsia="zh-CN"/>
        </w:rPr>
      </w:pPr>
    </w:p>
    <w:p>
      <w:pPr>
        <w:pStyle w:val="2"/>
        <w:tabs>
          <w:tab w:val="left" w:pos="599"/>
          <w:tab w:val="left" w:pos="1199"/>
        </w:tabs>
        <w:spacing w:before="0"/>
        <w:ind w:left="0" w:right="977"/>
        <w:jc w:val="right"/>
        <w:rPr>
          <w:lang w:eastAsia="zh-CN"/>
        </w:rPr>
      </w:pPr>
      <w:r>
        <w:rPr>
          <w:lang w:eastAsia="zh-CN"/>
        </w:rPr>
        <w:t>年</w:t>
      </w:r>
      <w:r>
        <w:rPr>
          <w:lang w:eastAsia="zh-CN"/>
        </w:rPr>
        <w:tab/>
      </w:r>
      <w:r>
        <w:rPr>
          <w:lang w:eastAsia="zh-CN"/>
        </w:rPr>
        <w:t>月</w:t>
      </w:r>
      <w:r>
        <w:rPr>
          <w:lang w:eastAsia="zh-CN"/>
        </w:rPr>
        <w:tab/>
      </w:r>
      <w:r>
        <w:rPr>
          <w:lang w:eastAsia="zh-CN"/>
        </w:rPr>
        <w:t>日</w:t>
      </w:r>
    </w:p>
    <w:p>
      <w:pPr>
        <w:jc w:val="right"/>
        <w:rPr>
          <w:lang w:eastAsia="zh-CN"/>
        </w:rPr>
        <w:sectPr>
          <w:type w:val="continuous"/>
          <w:pgSz w:w="11910" w:h="16840"/>
          <w:pgMar w:top="1440" w:right="1080" w:bottom="1440" w:left="1080" w:header="720" w:footer="720" w:gutter="0"/>
          <w:pgNumType w:fmt="decimal"/>
          <w:cols w:space="720" w:num="1"/>
        </w:sectPr>
      </w:pPr>
    </w:p>
    <w:p>
      <w:pPr>
        <w:spacing w:line="460" w:lineRule="exact"/>
        <w:rPr>
          <w:rFonts w:hint="eastAsia" w:ascii="宋体" w:hAnsi="宋体" w:eastAsia="宋体" w:cs="宋体"/>
          <w:sz w:val="24"/>
          <w:szCs w:val="20"/>
        </w:rPr>
      </w:pPr>
      <w:r>
        <w:rPr>
          <w:rFonts w:hint="eastAsia" w:ascii="宋体" w:hAnsi="宋体" w:eastAsia="宋体" w:cs="宋体"/>
          <w:sz w:val="24"/>
          <w:szCs w:val="20"/>
        </w:rPr>
        <w:t>附件八：</w:t>
      </w:r>
    </w:p>
    <w:p>
      <w:pPr>
        <w:spacing w:line="460" w:lineRule="exact"/>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商务条款偏离表</w:t>
      </w:r>
      <w:bookmarkStart w:id="66" w:name="_Toc76741803"/>
    </w:p>
    <w:p>
      <w:pPr>
        <w:spacing w:line="460" w:lineRule="exact"/>
        <w:jc w:val="center"/>
        <w:rPr>
          <w:rFonts w:hint="eastAsia" w:ascii="宋体" w:hAnsi="宋体" w:cs="宋体"/>
          <w:b/>
          <w:sz w:val="28"/>
          <w:szCs w:val="28"/>
          <w:lang w:val="en-US" w:eastAsia="zh-CN"/>
        </w:rPr>
      </w:pPr>
      <w:r>
        <w:rPr>
          <w:rFonts w:hint="eastAsia" w:ascii="宋体" w:hAnsi="宋体" w:cs="宋体"/>
          <w:b/>
          <w:sz w:val="28"/>
          <w:szCs w:val="28"/>
          <w:lang w:val="en-US" w:eastAsia="zh-CN"/>
        </w:rPr>
        <w:t xml:space="preserve"> </w:t>
      </w:r>
    </w:p>
    <w:tbl>
      <w:tblPr>
        <w:tblStyle w:val="32"/>
        <w:tblW w:w="0" w:type="auto"/>
        <w:jc w:val="center"/>
        <w:tblLayout w:type="fixed"/>
        <w:tblCellMar>
          <w:top w:w="0" w:type="dxa"/>
          <w:left w:w="0" w:type="dxa"/>
          <w:bottom w:w="0" w:type="dxa"/>
          <w:right w:w="0" w:type="dxa"/>
        </w:tblCellMar>
      </w:tblPr>
      <w:tblGrid>
        <w:gridCol w:w="832"/>
        <w:gridCol w:w="1180"/>
        <w:gridCol w:w="2444"/>
        <w:gridCol w:w="1241"/>
        <w:gridCol w:w="2341"/>
        <w:gridCol w:w="981"/>
      </w:tblGrid>
      <w:tr>
        <w:tblPrEx>
          <w:tblCellMar>
            <w:top w:w="0" w:type="dxa"/>
            <w:left w:w="0" w:type="dxa"/>
            <w:bottom w:w="0" w:type="dxa"/>
            <w:right w:w="0" w:type="dxa"/>
          </w:tblCellMar>
        </w:tblPrEx>
        <w:trPr>
          <w:trHeight w:val="576" w:hRule="exact"/>
          <w:jc w:val="center"/>
        </w:trPr>
        <w:tc>
          <w:tcPr>
            <w:tcW w:w="832" w:type="dxa"/>
            <w:vMerge w:val="restart"/>
            <w:tcBorders>
              <w:top w:val="single" w:color="000000" w:sz="4" w:space="0"/>
              <w:left w:val="single" w:color="000000" w:sz="4" w:space="0"/>
              <w:right w:val="single" w:color="000000" w:sz="4" w:space="0"/>
            </w:tcBorders>
          </w:tcPr>
          <w:p>
            <w:pPr>
              <w:pStyle w:val="83"/>
              <w:spacing w:before="4"/>
              <w:rPr>
                <w:rFonts w:ascii="宋体" w:hAnsi="宋体" w:eastAsia="宋体" w:cs="宋体"/>
                <w:b/>
                <w:bCs/>
                <w:sz w:val="33"/>
                <w:szCs w:val="33"/>
                <w:lang w:eastAsia="zh-CN"/>
              </w:rPr>
            </w:pPr>
          </w:p>
          <w:p>
            <w:pPr>
              <w:pStyle w:val="83"/>
              <w:ind w:left="172"/>
              <w:rPr>
                <w:rFonts w:ascii="宋体" w:hAnsi="宋体" w:eastAsia="宋体" w:cs="宋体"/>
                <w:sz w:val="24"/>
                <w:szCs w:val="24"/>
              </w:rPr>
            </w:pPr>
            <w:r>
              <w:rPr>
                <w:rFonts w:ascii="宋体" w:hAnsi="宋体" w:eastAsia="宋体" w:cs="宋体"/>
                <w:sz w:val="24"/>
                <w:szCs w:val="24"/>
              </w:rPr>
              <w:t>序号</w:t>
            </w:r>
          </w:p>
        </w:tc>
        <w:tc>
          <w:tcPr>
            <w:tcW w:w="3624" w:type="dxa"/>
            <w:gridSpan w:val="2"/>
            <w:tcBorders>
              <w:top w:val="single" w:color="000000" w:sz="4" w:space="0"/>
              <w:left w:val="single" w:color="000000" w:sz="4" w:space="0"/>
              <w:bottom w:val="single" w:color="000000" w:sz="4" w:space="0"/>
              <w:right w:val="single" w:color="000000" w:sz="4" w:space="0"/>
            </w:tcBorders>
          </w:tcPr>
          <w:p>
            <w:pPr>
              <w:pStyle w:val="83"/>
              <w:spacing w:before="148"/>
              <w:jc w:val="center"/>
              <w:rPr>
                <w:rFonts w:ascii="宋体" w:hAnsi="宋体" w:eastAsia="宋体" w:cs="宋体"/>
                <w:sz w:val="24"/>
                <w:szCs w:val="24"/>
              </w:rPr>
            </w:pPr>
            <w:r>
              <w:rPr>
                <w:rFonts w:ascii="宋体" w:hAnsi="宋体" w:eastAsia="宋体" w:cs="宋体"/>
                <w:sz w:val="24"/>
                <w:szCs w:val="24"/>
              </w:rPr>
              <w:t>招标文件</w:t>
            </w:r>
          </w:p>
        </w:tc>
        <w:tc>
          <w:tcPr>
            <w:tcW w:w="3582" w:type="dxa"/>
            <w:gridSpan w:val="2"/>
            <w:tcBorders>
              <w:top w:val="single" w:color="000000" w:sz="4" w:space="0"/>
              <w:left w:val="single" w:color="000000" w:sz="4" w:space="0"/>
              <w:bottom w:val="single" w:color="000000" w:sz="4" w:space="0"/>
              <w:right w:val="single" w:color="000000" w:sz="4" w:space="0"/>
            </w:tcBorders>
          </w:tcPr>
          <w:p>
            <w:pPr>
              <w:pStyle w:val="83"/>
              <w:spacing w:before="148"/>
              <w:jc w:val="center"/>
              <w:rPr>
                <w:rFonts w:ascii="宋体" w:hAnsi="宋体" w:eastAsia="宋体" w:cs="宋体"/>
                <w:sz w:val="24"/>
                <w:szCs w:val="24"/>
              </w:rPr>
            </w:pPr>
            <w:r>
              <w:rPr>
                <w:rFonts w:ascii="宋体" w:hAnsi="宋体" w:eastAsia="宋体" w:cs="宋体"/>
                <w:sz w:val="24"/>
                <w:szCs w:val="24"/>
              </w:rPr>
              <w:t>投标文件</w:t>
            </w:r>
          </w:p>
        </w:tc>
        <w:tc>
          <w:tcPr>
            <w:tcW w:w="981" w:type="dxa"/>
            <w:vMerge w:val="restart"/>
            <w:tcBorders>
              <w:top w:val="single" w:color="000000" w:sz="4" w:space="0"/>
              <w:left w:val="single" w:color="000000" w:sz="4" w:space="0"/>
              <w:right w:val="single" w:color="000000" w:sz="4" w:space="0"/>
            </w:tcBorders>
          </w:tcPr>
          <w:p>
            <w:pPr>
              <w:pStyle w:val="83"/>
              <w:spacing w:before="4"/>
              <w:rPr>
                <w:rFonts w:ascii="宋体" w:hAnsi="宋体" w:eastAsia="宋体" w:cs="宋体"/>
                <w:b/>
                <w:bCs/>
                <w:sz w:val="33"/>
                <w:szCs w:val="33"/>
              </w:rPr>
            </w:pPr>
          </w:p>
          <w:p>
            <w:pPr>
              <w:pStyle w:val="83"/>
              <w:ind w:left="246"/>
              <w:rPr>
                <w:rFonts w:ascii="宋体" w:hAnsi="宋体" w:eastAsia="宋体" w:cs="宋体"/>
                <w:sz w:val="24"/>
                <w:szCs w:val="24"/>
              </w:rPr>
            </w:pPr>
            <w:r>
              <w:rPr>
                <w:rFonts w:ascii="宋体" w:hAnsi="宋体" w:eastAsia="宋体" w:cs="宋体"/>
                <w:sz w:val="24"/>
                <w:szCs w:val="24"/>
              </w:rPr>
              <w:t>备注</w:t>
            </w:r>
          </w:p>
        </w:tc>
      </w:tr>
      <w:tr>
        <w:tblPrEx>
          <w:tblCellMar>
            <w:top w:w="0" w:type="dxa"/>
            <w:left w:w="0" w:type="dxa"/>
            <w:bottom w:w="0" w:type="dxa"/>
            <w:right w:w="0" w:type="dxa"/>
          </w:tblCellMar>
        </w:tblPrEx>
        <w:trPr>
          <w:trHeight w:val="576" w:hRule="exact"/>
          <w:jc w:val="center"/>
        </w:trPr>
        <w:tc>
          <w:tcPr>
            <w:tcW w:w="832" w:type="dxa"/>
            <w:vMerge w:val="continue"/>
            <w:tcBorders>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pPr>
              <w:pStyle w:val="83"/>
              <w:spacing w:before="148"/>
              <w:ind w:left="225"/>
              <w:rPr>
                <w:rFonts w:ascii="宋体" w:hAnsi="宋体" w:eastAsia="宋体" w:cs="宋体"/>
                <w:sz w:val="24"/>
                <w:szCs w:val="24"/>
              </w:rPr>
            </w:pPr>
            <w:r>
              <w:rPr>
                <w:rFonts w:ascii="宋体" w:hAnsi="宋体" w:eastAsia="宋体" w:cs="宋体"/>
                <w:sz w:val="24"/>
                <w:szCs w:val="24"/>
              </w:rPr>
              <w:t>条款号</w:t>
            </w:r>
          </w:p>
        </w:tc>
        <w:tc>
          <w:tcPr>
            <w:tcW w:w="2444" w:type="dxa"/>
            <w:tcBorders>
              <w:top w:val="single" w:color="000000" w:sz="4" w:space="0"/>
              <w:left w:val="single" w:color="000000" w:sz="4" w:space="0"/>
              <w:bottom w:val="single" w:color="000000" w:sz="4" w:space="0"/>
              <w:right w:val="single" w:color="000000" w:sz="4" w:space="0"/>
            </w:tcBorders>
          </w:tcPr>
          <w:p>
            <w:pPr>
              <w:pStyle w:val="83"/>
              <w:spacing w:before="148"/>
              <w:ind w:left="737"/>
              <w:rPr>
                <w:rFonts w:ascii="宋体" w:hAnsi="宋体" w:eastAsia="宋体" w:cs="宋体"/>
                <w:sz w:val="24"/>
                <w:szCs w:val="24"/>
              </w:rPr>
            </w:pPr>
            <w:r>
              <w:rPr>
                <w:rFonts w:ascii="宋体" w:hAnsi="宋体" w:eastAsia="宋体" w:cs="宋体"/>
                <w:sz w:val="24"/>
                <w:szCs w:val="24"/>
              </w:rPr>
              <w:t>条款内容</w:t>
            </w:r>
          </w:p>
        </w:tc>
        <w:tc>
          <w:tcPr>
            <w:tcW w:w="1241" w:type="dxa"/>
            <w:tcBorders>
              <w:top w:val="single" w:color="000000" w:sz="4" w:space="0"/>
              <w:left w:val="single" w:color="000000" w:sz="4" w:space="0"/>
              <w:bottom w:val="single" w:color="000000" w:sz="4" w:space="0"/>
              <w:right w:val="single" w:color="000000" w:sz="4" w:space="0"/>
            </w:tcBorders>
          </w:tcPr>
          <w:p>
            <w:pPr>
              <w:pStyle w:val="83"/>
              <w:spacing w:before="148"/>
              <w:ind w:left="254"/>
              <w:rPr>
                <w:rFonts w:ascii="宋体" w:hAnsi="宋体" w:eastAsia="宋体" w:cs="宋体"/>
                <w:sz w:val="24"/>
                <w:szCs w:val="24"/>
              </w:rPr>
            </w:pPr>
            <w:r>
              <w:rPr>
                <w:rFonts w:ascii="宋体" w:hAnsi="宋体" w:eastAsia="宋体" w:cs="宋体"/>
                <w:sz w:val="24"/>
                <w:szCs w:val="24"/>
              </w:rPr>
              <w:t>条款号</w:t>
            </w:r>
          </w:p>
        </w:tc>
        <w:tc>
          <w:tcPr>
            <w:tcW w:w="2341" w:type="dxa"/>
            <w:tcBorders>
              <w:top w:val="single" w:color="000000" w:sz="4" w:space="0"/>
              <w:left w:val="single" w:color="000000" w:sz="4" w:space="0"/>
              <w:bottom w:val="single" w:color="000000" w:sz="4" w:space="0"/>
              <w:right w:val="single" w:color="000000" w:sz="4" w:space="0"/>
            </w:tcBorders>
          </w:tcPr>
          <w:p>
            <w:pPr>
              <w:pStyle w:val="83"/>
              <w:spacing w:before="148"/>
              <w:ind w:left="683"/>
              <w:rPr>
                <w:rFonts w:ascii="宋体" w:hAnsi="宋体" w:eastAsia="宋体" w:cs="宋体"/>
                <w:sz w:val="24"/>
                <w:szCs w:val="24"/>
              </w:rPr>
            </w:pPr>
            <w:r>
              <w:rPr>
                <w:rFonts w:ascii="宋体" w:hAnsi="宋体" w:eastAsia="宋体" w:cs="宋体"/>
                <w:sz w:val="24"/>
                <w:szCs w:val="24"/>
              </w:rPr>
              <w:t>条款内容</w:t>
            </w:r>
          </w:p>
        </w:tc>
        <w:tc>
          <w:tcPr>
            <w:tcW w:w="981"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6" w:hRule="exact"/>
          <w:jc w:val="center"/>
        </w:trPr>
        <w:tc>
          <w:tcPr>
            <w:tcW w:w="832" w:type="dxa"/>
            <w:tcBorders>
              <w:top w:val="single" w:color="000000" w:sz="4" w:space="0"/>
              <w:left w:val="single" w:color="000000" w:sz="4" w:space="0"/>
              <w:bottom w:val="single" w:color="000000" w:sz="4" w:space="0"/>
              <w:right w:val="single" w:color="000000" w:sz="4" w:space="0"/>
            </w:tcBorders>
          </w:tcPr>
          <w:p/>
        </w:tc>
        <w:tc>
          <w:tcPr>
            <w:tcW w:w="1180" w:type="dxa"/>
            <w:tcBorders>
              <w:top w:val="single" w:color="000000" w:sz="4" w:space="0"/>
              <w:left w:val="single" w:color="000000" w:sz="4" w:space="0"/>
              <w:bottom w:val="single" w:color="000000" w:sz="4" w:space="0"/>
              <w:right w:val="single" w:color="000000" w:sz="4" w:space="0"/>
            </w:tcBorders>
          </w:tcPr>
          <w:p/>
        </w:tc>
        <w:tc>
          <w:tcPr>
            <w:tcW w:w="2444" w:type="dxa"/>
            <w:tcBorders>
              <w:top w:val="single" w:color="000000" w:sz="4" w:space="0"/>
              <w:left w:val="single" w:color="000000" w:sz="4" w:space="0"/>
              <w:bottom w:val="single" w:color="000000" w:sz="4" w:space="0"/>
              <w:right w:val="single" w:color="000000" w:sz="4" w:space="0"/>
            </w:tcBorders>
          </w:tcPr>
          <w:p/>
        </w:tc>
        <w:tc>
          <w:tcPr>
            <w:tcW w:w="1241" w:type="dxa"/>
            <w:tcBorders>
              <w:top w:val="single" w:color="000000" w:sz="4" w:space="0"/>
              <w:left w:val="single" w:color="000000" w:sz="4" w:space="0"/>
              <w:bottom w:val="single" w:color="000000" w:sz="4" w:space="0"/>
              <w:right w:val="single" w:color="000000" w:sz="4" w:space="0"/>
            </w:tcBorders>
          </w:tcPr>
          <w:p/>
        </w:tc>
        <w:tc>
          <w:tcPr>
            <w:tcW w:w="2341" w:type="dxa"/>
            <w:tcBorders>
              <w:top w:val="single" w:color="000000" w:sz="4" w:space="0"/>
              <w:left w:val="single" w:color="000000" w:sz="4" w:space="0"/>
              <w:bottom w:val="single" w:color="000000" w:sz="4" w:space="0"/>
              <w:right w:val="single" w:color="000000" w:sz="4" w:space="0"/>
            </w:tcBorders>
          </w:tcPr>
          <w:p/>
        </w:tc>
        <w:tc>
          <w:tcPr>
            <w:tcW w:w="981" w:type="dxa"/>
            <w:tcBorders>
              <w:top w:val="single" w:color="000000" w:sz="4" w:space="0"/>
              <w:left w:val="single" w:color="000000" w:sz="4" w:space="0"/>
              <w:bottom w:val="single" w:color="000000" w:sz="4" w:space="0"/>
              <w:right w:val="single" w:color="000000" w:sz="4" w:space="0"/>
            </w:tcBorders>
          </w:tcPr>
          <w:p/>
        </w:tc>
      </w:tr>
    </w:tbl>
    <w:p>
      <w:pPr>
        <w:pStyle w:val="2"/>
        <w:ind w:left="958" w:right="185"/>
        <w:rPr>
          <w:lang w:eastAsia="zh-CN"/>
        </w:rPr>
      </w:pPr>
    </w:p>
    <w:p>
      <w:pPr>
        <w:pStyle w:val="2"/>
        <w:ind w:left="958" w:right="185"/>
        <w:rPr>
          <w:lang w:eastAsia="zh-CN"/>
        </w:rPr>
      </w:pPr>
      <w:r>
        <w:rPr>
          <w:lang w:eastAsia="zh-CN"/>
        </w:rPr>
        <w:t>备注：如若无偏离须在本表中注明“无</w:t>
      </w:r>
      <w:r>
        <w:rPr>
          <w:spacing w:val="-120"/>
          <w:lang w:eastAsia="zh-CN"/>
        </w:rPr>
        <w:t>”</w:t>
      </w:r>
      <w:r>
        <w:rPr>
          <w:lang w:eastAsia="zh-CN"/>
        </w:rPr>
        <w:t>。</w:t>
      </w:r>
    </w:p>
    <w:p>
      <w:pPr>
        <w:rPr>
          <w:rFonts w:ascii="宋体" w:hAnsi="宋体" w:eastAsia="宋体" w:cs="宋体"/>
          <w:sz w:val="24"/>
          <w:szCs w:val="24"/>
          <w:lang w:eastAsia="zh-CN"/>
        </w:rPr>
      </w:pPr>
    </w:p>
    <w:p>
      <w:pPr>
        <w:spacing w:before="2"/>
        <w:rPr>
          <w:rFonts w:ascii="宋体" w:hAnsi="宋体" w:eastAsia="宋体" w:cs="宋体"/>
          <w:sz w:val="25"/>
          <w:szCs w:val="25"/>
          <w:lang w:eastAsia="zh-CN"/>
        </w:rPr>
      </w:pPr>
    </w:p>
    <w:p>
      <w:pPr>
        <w:pStyle w:val="2"/>
        <w:spacing w:before="0" w:line="367" w:lineRule="auto"/>
        <w:ind w:left="238" w:right="5328"/>
        <w:rPr>
          <w:lang w:eastAsia="zh-CN"/>
        </w:rPr>
      </w:pPr>
      <w:r>
        <w:rPr>
          <w:lang w:eastAsia="zh-CN"/>
        </w:rPr>
        <w:t>供应商 （公章</w:t>
      </w:r>
      <w:r>
        <w:rPr>
          <w:spacing w:val="-120"/>
          <w:lang w:eastAsia="zh-CN"/>
        </w:rPr>
        <w:t>）</w:t>
      </w:r>
      <w:r>
        <w:rPr>
          <w:rFonts w:hint="eastAsia"/>
          <w:spacing w:val="-120"/>
          <w:lang w:val="en-US" w:eastAsia="zh-CN"/>
        </w:rPr>
        <w:t xml:space="preserve">      </w:t>
      </w:r>
      <w:r>
        <w:rPr>
          <w:lang w:eastAsia="zh-CN"/>
        </w:rPr>
        <w:t xml:space="preserve">： </w:t>
      </w:r>
    </w:p>
    <w:p>
      <w:pPr>
        <w:pStyle w:val="2"/>
        <w:spacing w:before="0" w:line="367" w:lineRule="auto"/>
        <w:ind w:left="238" w:right="5328"/>
        <w:rPr>
          <w:lang w:eastAsia="zh-CN"/>
        </w:rPr>
      </w:pPr>
      <w:r>
        <w:rPr>
          <w:lang w:eastAsia="zh-CN"/>
        </w:rPr>
        <w:t>法定代表人或授权代理人</w:t>
      </w:r>
      <w:r>
        <w:rPr>
          <w:spacing w:val="-120"/>
          <w:lang w:eastAsia="zh-CN"/>
        </w:rPr>
        <w:t>：</w:t>
      </w:r>
      <w:r>
        <w:rPr>
          <w:lang w:eastAsia="zh-CN"/>
        </w:rPr>
        <w:t>（签字）</w:t>
      </w:r>
    </w:p>
    <w:p>
      <w:pPr>
        <w:rPr>
          <w:rFonts w:ascii="宋体" w:hAnsi="宋体" w:eastAsia="宋体" w:cs="宋体"/>
          <w:sz w:val="20"/>
          <w:szCs w:val="20"/>
          <w:lang w:eastAsia="zh-CN"/>
        </w:rPr>
      </w:pPr>
    </w:p>
    <w:p>
      <w:pPr>
        <w:spacing w:before="9"/>
        <w:rPr>
          <w:rFonts w:ascii="宋体" w:hAnsi="宋体" w:eastAsia="宋体" w:cs="宋体"/>
          <w:sz w:val="17"/>
          <w:szCs w:val="17"/>
          <w:lang w:eastAsia="zh-CN"/>
        </w:rPr>
      </w:pPr>
    </w:p>
    <w:p>
      <w:pPr>
        <w:pStyle w:val="2"/>
        <w:tabs>
          <w:tab w:val="left" w:pos="599"/>
          <w:tab w:val="left" w:pos="1199"/>
        </w:tabs>
        <w:ind w:left="0" w:right="117"/>
        <w:jc w:val="right"/>
        <w:rPr>
          <w:lang w:eastAsia="zh-CN"/>
        </w:rPr>
      </w:pPr>
      <w:r>
        <w:rPr>
          <w:lang w:eastAsia="zh-CN"/>
        </w:rPr>
        <w:t>年</w:t>
      </w:r>
      <w:r>
        <w:rPr>
          <w:lang w:eastAsia="zh-CN"/>
        </w:rPr>
        <w:tab/>
      </w:r>
      <w:r>
        <w:rPr>
          <w:lang w:eastAsia="zh-CN"/>
        </w:rPr>
        <w:t>月</w:t>
      </w:r>
      <w:r>
        <w:rPr>
          <w:lang w:eastAsia="zh-CN"/>
        </w:rPr>
        <w:tab/>
      </w:r>
      <w:r>
        <w:rPr>
          <w:lang w:eastAsia="zh-CN"/>
        </w:rPr>
        <w:t>日</w:t>
      </w:r>
    </w:p>
    <w:p>
      <w:pPr>
        <w:keepNext/>
        <w:keepLines/>
        <w:tabs>
          <w:tab w:val="left" w:pos="1260"/>
        </w:tabs>
        <w:spacing w:line="700" w:lineRule="exact"/>
        <w:ind w:firstLine="562" w:firstLineChars="200"/>
        <w:jc w:val="center"/>
        <w:outlineLvl w:val="1"/>
        <w:rPr>
          <w:rFonts w:hint="eastAsia" w:ascii="宋体" w:hAnsi="宋体" w:cs="宋体"/>
          <w:b/>
          <w:sz w:val="28"/>
          <w:szCs w:val="28"/>
          <w:lang w:val="en-US" w:eastAsia="zh-CN"/>
        </w:rPr>
      </w:pPr>
    </w:p>
    <w:p>
      <w:pPr>
        <w:pStyle w:val="15"/>
        <w:rPr>
          <w:rFonts w:hint="eastAsia" w:ascii="宋体" w:hAnsi="宋体" w:cs="宋体"/>
          <w:b/>
          <w:sz w:val="28"/>
          <w:szCs w:val="28"/>
          <w:lang w:val="en-US" w:eastAsia="zh-CN"/>
        </w:rPr>
      </w:pPr>
    </w:p>
    <w:p>
      <w:pPr>
        <w:keepNext/>
        <w:keepLines/>
        <w:tabs>
          <w:tab w:val="left" w:pos="1260"/>
        </w:tabs>
        <w:spacing w:line="700" w:lineRule="exact"/>
        <w:ind w:firstLine="562" w:firstLineChars="200"/>
        <w:jc w:val="center"/>
        <w:outlineLvl w:val="1"/>
        <w:rPr>
          <w:rFonts w:hint="eastAsia" w:ascii="宋体" w:hAnsi="宋体" w:cs="宋体"/>
          <w:b/>
          <w:sz w:val="28"/>
          <w:szCs w:val="28"/>
          <w:lang w:val="en-US" w:eastAsia="zh-CN"/>
        </w:rPr>
      </w:pPr>
      <w:r>
        <w:rPr>
          <w:rFonts w:hint="eastAsia" w:ascii="宋体" w:hAnsi="宋体" w:cs="宋体"/>
          <w:b/>
          <w:sz w:val="28"/>
          <w:szCs w:val="28"/>
          <w:lang w:val="en-US" w:eastAsia="zh-CN"/>
        </w:rPr>
        <w:t>技术条款偏离表</w:t>
      </w:r>
    </w:p>
    <w:p>
      <w:pPr>
        <w:rPr>
          <w:rFonts w:hint="eastAsia"/>
          <w:lang w:val="en-US" w:eastAsia="zh-CN"/>
        </w:rPr>
      </w:pPr>
    </w:p>
    <w:tbl>
      <w:tblPr>
        <w:tblStyle w:val="32"/>
        <w:tblW w:w="0" w:type="auto"/>
        <w:jc w:val="center"/>
        <w:tblLayout w:type="fixed"/>
        <w:tblCellMar>
          <w:top w:w="0" w:type="dxa"/>
          <w:left w:w="0" w:type="dxa"/>
          <w:bottom w:w="0" w:type="dxa"/>
          <w:right w:w="0" w:type="dxa"/>
        </w:tblCellMar>
      </w:tblPr>
      <w:tblGrid>
        <w:gridCol w:w="1087"/>
        <w:gridCol w:w="1082"/>
        <w:gridCol w:w="2519"/>
        <w:gridCol w:w="1080"/>
        <w:gridCol w:w="2519"/>
        <w:gridCol w:w="1079"/>
      </w:tblGrid>
      <w:tr>
        <w:tblPrEx>
          <w:tblCellMar>
            <w:top w:w="0" w:type="dxa"/>
            <w:left w:w="0" w:type="dxa"/>
            <w:bottom w:w="0" w:type="dxa"/>
            <w:right w:w="0" w:type="dxa"/>
          </w:tblCellMar>
        </w:tblPrEx>
        <w:trPr>
          <w:trHeight w:val="577" w:hRule="exact"/>
          <w:jc w:val="center"/>
        </w:trPr>
        <w:tc>
          <w:tcPr>
            <w:tcW w:w="1087" w:type="dxa"/>
            <w:vMerge w:val="restart"/>
            <w:tcBorders>
              <w:top w:val="single" w:color="000000" w:sz="4" w:space="0"/>
              <w:left w:val="single" w:color="000000" w:sz="4" w:space="0"/>
              <w:right w:val="single" w:color="000000" w:sz="4" w:space="0"/>
            </w:tcBorders>
          </w:tcPr>
          <w:p>
            <w:pPr>
              <w:pStyle w:val="83"/>
              <w:spacing w:before="4"/>
              <w:rPr>
                <w:rFonts w:ascii="宋体" w:hAnsi="宋体" w:eastAsia="宋体" w:cs="宋体"/>
                <w:b/>
                <w:bCs/>
                <w:sz w:val="33"/>
                <w:szCs w:val="33"/>
                <w:lang w:eastAsia="zh-CN"/>
              </w:rPr>
            </w:pPr>
          </w:p>
          <w:p>
            <w:pPr>
              <w:pStyle w:val="83"/>
              <w:ind w:left="297"/>
              <w:rPr>
                <w:rFonts w:ascii="宋体" w:hAnsi="宋体" w:eastAsia="宋体" w:cs="宋体"/>
                <w:sz w:val="24"/>
                <w:szCs w:val="24"/>
              </w:rPr>
            </w:pPr>
            <w:r>
              <w:rPr>
                <w:rFonts w:ascii="宋体" w:hAnsi="宋体" w:eastAsia="宋体" w:cs="宋体"/>
                <w:sz w:val="24"/>
                <w:szCs w:val="24"/>
              </w:rPr>
              <w:t>序号</w:t>
            </w:r>
          </w:p>
        </w:tc>
        <w:tc>
          <w:tcPr>
            <w:tcW w:w="3601" w:type="dxa"/>
            <w:gridSpan w:val="2"/>
            <w:tcBorders>
              <w:top w:val="single" w:color="000000" w:sz="4" w:space="0"/>
              <w:left w:val="single" w:color="000000" w:sz="4" w:space="0"/>
              <w:bottom w:val="single" w:color="000000" w:sz="4" w:space="0"/>
              <w:right w:val="single" w:color="000000" w:sz="4" w:space="0"/>
            </w:tcBorders>
          </w:tcPr>
          <w:p>
            <w:pPr>
              <w:pStyle w:val="83"/>
              <w:spacing w:before="148"/>
              <w:ind w:right="1"/>
              <w:jc w:val="center"/>
              <w:rPr>
                <w:rFonts w:ascii="宋体" w:hAnsi="宋体" w:eastAsia="宋体" w:cs="宋体"/>
                <w:sz w:val="24"/>
                <w:szCs w:val="24"/>
              </w:rPr>
            </w:pPr>
            <w:r>
              <w:rPr>
                <w:rFonts w:ascii="宋体" w:hAnsi="宋体" w:eastAsia="宋体" w:cs="宋体"/>
                <w:sz w:val="24"/>
                <w:szCs w:val="24"/>
              </w:rPr>
              <w:t>招标文件</w:t>
            </w:r>
          </w:p>
        </w:tc>
        <w:tc>
          <w:tcPr>
            <w:tcW w:w="3599" w:type="dxa"/>
            <w:gridSpan w:val="2"/>
            <w:tcBorders>
              <w:top w:val="single" w:color="000000" w:sz="4" w:space="0"/>
              <w:left w:val="single" w:color="000000" w:sz="4" w:space="0"/>
              <w:bottom w:val="single" w:color="000000" w:sz="4" w:space="0"/>
              <w:right w:val="single" w:color="000000" w:sz="4" w:space="0"/>
            </w:tcBorders>
          </w:tcPr>
          <w:p>
            <w:pPr>
              <w:pStyle w:val="83"/>
              <w:spacing w:before="148"/>
              <w:ind w:right="1"/>
              <w:jc w:val="center"/>
              <w:rPr>
                <w:rFonts w:ascii="宋体" w:hAnsi="宋体" w:eastAsia="宋体" w:cs="宋体"/>
                <w:sz w:val="24"/>
                <w:szCs w:val="24"/>
              </w:rPr>
            </w:pPr>
            <w:r>
              <w:rPr>
                <w:rFonts w:ascii="宋体" w:hAnsi="宋体" w:eastAsia="宋体" w:cs="宋体"/>
                <w:sz w:val="24"/>
                <w:szCs w:val="24"/>
              </w:rPr>
              <w:t>投标文件</w:t>
            </w:r>
          </w:p>
        </w:tc>
        <w:tc>
          <w:tcPr>
            <w:tcW w:w="1079" w:type="dxa"/>
            <w:vMerge w:val="restart"/>
            <w:tcBorders>
              <w:top w:val="single" w:color="000000" w:sz="4" w:space="0"/>
              <w:left w:val="single" w:color="000000" w:sz="4" w:space="0"/>
              <w:right w:val="single" w:color="000000" w:sz="4" w:space="0"/>
            </w:tcBorders>
          </w:tcPr>
          <w:p>
            <w:pPr>
              <w:pStyle w:val="83"/>
              <w:spacing w:before="4"/>
              <w:rPr>
                <w:rFonts w:ascii="宋体" w:hAnsi="宋体" w:eastAsia="宋体" w:cs="宋体"/>
                <w:b/>
                <w:bCs/>
                <w:sz w:val="33"/>
                <w:szCs w:val="33"/>
              </w:rPr>
            </w:pPr>
          </w:p>
          <w:p>
            <w:pPr>
              <w:pStyle w:val="83"/>
              <w:ind w:left="294"/>
              <w:rPr>
                <w:rFonts w:ascii="宋体" w:hAnsi="宋体" w:eastAsia="宋体" w:cs="宋体"/>
                <w:sz w:val="24"/>
                <w:szCs w:val="24"/>
              </w:rPr>
            </w:pPr>
            <w:r>
              <w:rPr>
                <w:rFonts w:ascii="宋体" w:hAnsi="宋体" w:eastAsia="宋体" w:cs="宋体"/>
                <w:sz w:val="24"/>
                <w:szCs w:val="24"/>
              </w:rPr>
              <w:t>备注</w:t>
            </w:r>
          </w:p>
        </w:tc>
      </w:tr>
      <w:tr>
        <w:tblPrEx>
          <w:tblCellMar>
            <w:top w:w="0" w:type="dxa"/>
            <w:left w:w="0" w:type="dxa"/>
            <w:bottom w:w="0" w:type="dxa"/>
            <w:right w:w="0" w:type="dxa"/>
          </w:tblCellMar>
        </w:tblPrEx>
        <w:trPr>
          <w:trHeight w:val="577" w:hRule="exact"/>
          <w:jc w:val="center"/>
        </w:trPr>
        <w:tc>
          <w:tcPr>
            <w:tcW w:w="1087" w:type="dxa"/>
            <w:vMerge w:val="continue"/>
            <w:tcBorders>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pPr>
              <w:pStyle w:val="83"/>
              <w:spacing w:before="147"/>
              <w:ind w:left="175"/>
              <w:rPr>
                <w:rFonts w:ascii="宋体" w:hAnsi="宋体" w:eastAsia="宋体" w:cs="宋体"/>
                <w:sz w:val="24"/>
                <w:szCs w:val="24"/>
              </w:rPr>
            </w:pPr>
            <w:r>
              <w:rPr>
                <w:rFonts w:ascii="宋体" w:hAnsi="宋体" w:eastAsia="宋体" w:cs="宋体"/>
                <w:sz w:val="24"/>
                <w:szCs w:val="24"/>
              </w:rPr>
              <w:t>条款号</w:t>
            </w:r>
          </w:p>
        </w:tc>
        <w:tc>
          <w:tcPr>
            <w:tcW w:w="2519" w:type="dxa"/>
            <w:tcBorders>
              <w:top w:val="single" w:color="000000" w:sz="4" w:space="0"/>
              <w:left w:val="single" w:color="000000" w:sz="4" w:space="0"/>
              <w:bottom w:val="single" w:color="000000" w:sz="4" w:space="0"/>
              <w:right w:val="single" w:color="000000" w:sz="4" w:space="0"/>
            </w:tcBorders>
          </w:tcPr>
          <w:p>
            <w:pPr>
              <w:pStyle w:val="83"/>
              <w:spacing w:before="147"/>
              <w:ind w:left="773"/>
              <w:rPr>
                <w:rFonts w:ascii="宋体" w:hAnsi="宋体" w:eastAsia="宋体" w:cs="宋体"/>
                <w:sz w:val="24"/>
                <w:szCs w:val="24"/>
              </w:rPr>
            </w:pPr>
            <w:r>
              <w:rPr>
                <w:rFonts w:ascii="宋体" w:hAnsi="宋体" w:eastAsia="宋体" w:cs="宋体"/>
                <w:sz w:val="24"/>
                <w:szCs w:val="24"/>
              </w:rPr>
              <w:t>条款内容</w:t>
            </w:r>
          </w:p>
        </w:tc>
        <w:tc>
          <w:tcPr>
            <w:tcW w:w="1080" w:type="dxa"/>
            <w:tcBorders>
              <w:top w:val="single" w:color="000000" w:sz="4" w:space="0"/>
              <w:left w:val="single" w:color="000000" w:sz="4" w:space="0"/>
              <w:bottom w:val="single" w:color="000000" w:sz="4" w:space="0"/>
              <w:right w:val="single" w:color="000000" w:sz="4" w:space="0"/>
            </w:tcBorders>
          </w:tcPr>
          <w:p>
            <w:pPr>
              <w:pStyle w:val="83"/>
              <w:spacing w:before="147"/>
              <w:ind w:left="173"/>
              <w:rPr>
                <w:rFonts w:ascii="宋体" w:hAnsi="宋体" w:eastAsia="宋体" w:cs="宋体"/>
                <w:sz w:val="24"/>
                <w:szCs w:val="24"/>
              </w:rPr>
            </w:pPr>
            <w:r>
              <w:rPr>
                <w:rFonts w:ascii="宋体" w:hAnsi="宋体" w:eastAsia="宋体" w:cs="宋体"/>
                <w:sz w:val="24"/>
                <w:szCs w:val="24"/>
              </w:rPr>
              <w:t>条款号</w:t>
            </w:r>
          </w:p>
        </w:tc>
        <w:tc>
          <w:tcPr>
            <w:tcW w:w="2519" w:type="dxa"/>
            <w:tcBorders>
              <w:top w:val="single" w:color="000000" w:sz="4" w:space="0"/>
              <w:left w:val="single" w:color="000000" w:sz="4" w:space="0"/>
              <w:bottom w:val="single" w:color="000000" w:sz="4" w:space="0"/>
              <w:right w:val="single" w:color="000000" w:sz="4" w:space="0"/>
            </w:tcBorders>
          </w:tcPr>
          <w:p>
            <w:pPr>
              <w:pStyle w:val="83"/>
              <w:spacing w:before="147"/>
              <w:ind w:left="773"/>
              <w:rPr>
                <w:rFonts w:ascii="宋体" w:hAnsi="宋体" w:eastAsia="宋体" w:cs="宋体"/>
                <w:sz w:val="24"/>
                <w:szCs w:val="24"/>
              </w:rPr>
            </w:pPr>
            <w:r>
              <w:rPr>
                <w:rFonts w:ascii="宋体" w:hAnsi="宋体" w:eastAsia="宋体" w:cs="宋体"/>
                <w:sz w:val="24"/>
                <w:szCs w:val="24"/>
              </w:rPr>
              <w:t>条款内容</w:t>
            </w:r>
          </w:p>
        </w:tc>
        <w:tc>
          <w:tcPr>
            <w:tcW w:w="107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7" w:hRule="exact"/>
          <w:jc w:val="center"/>
        </w:trPr>
        <w:tc>
          <w:tcPr>
            <w:tcW w:w="1087" w:type="dxa"/>
            <w:tcBorders>
              <w:top w:val="single" w:color="000000" w:sz="4" w:space="0"/>
              <w:left w:val="single" w:color="000000" w:sz="4" w:space="0"/>
              <w:bottom w:val="single" w:color="000000" w:sz="4" w:space="0"/>
              <w:right w:val="single" w:color="000000" w:sz="4" w:space="0"/>
            </w:tcBorders>
          </w:tcPr>
          <w:p/>
        </w:tc>
        <w:tc>
          <w:tcPr>
            <w:tcW w:w="1082"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80" w:type="dxa"/>
            <w:tcBorders>
              <w:top w:val="single" w:color="000000" w:sz="4" w:space="0"/>
              <w:left w:val="single" w:color="000000" w:sz="4" w:space="0"/>
              <w:bottom w:val="single" w:color="000000" w:sz="4" w:space="0"/>
              <w:right w:val="single" w:color="000000" w:sz="4" w:space="0"/>
            </w:tcBorders>
          </w:tcPr>
          <w:p/>
        </w:tc>
        <w:tc>
          <w:tcPr>
            <w:tcW w:w="2519" w:type="dxa"/>
            <w:tcBorders>
              <w:top w:val="single" w:color="000000" w:sz="4" w:space="0"/>
              <w:left w:val="single" w:color="000000" w:sz="4" w:space="0"/>
              <w:bottom w:val="single" w:color="000000" w:sz="4" w:space="0"/>
              <w:right w:val="single" w:color="000000" w:sz="4" w:space="0"/>
            </w:tcBorders>
          </w:tcPr>
          <w:p/>
        </w:tc>
        <w:tc>
          <w:tcPr>
            <w:tcW w:w="1079" w:type="dxa"/>
            <w:tcBorders>
              <w:top w:val="single" w:color="000000" w:sz="4" w:space="0"/>
              <w:left w:val="single" w:color="000000" w:sz="4" w:space="0"/>
              <w:bottom w:val="single" w:color="000000" w:sz="4" w:space="0"/>
              <w:right w:val="single" w:color="000000" w:sz="4" w:space="0"/>
            </w:tcBorders>
          </w:tcPr>
          <w:p/>
        </w:tc>
      </w:tr>
    </w:tbl>
    <w:p>
      <w:pPr>
        <w:pStyle w:val="2"/>
        <w:ind w:left="1098"/>
        <w:rPr>
          <w:lang w:eastAsia="zh-CN"/>
        </w:rPr>
      </w:pPr>
      <w:r>
        <w:rPr>
          <w:lang w:eastAsia="zh-CN"/>
        </w:rPr>
        <w:t>备注：如若无偏离须在本表中注明“无</w:t>
      </w:r>
      <w:r>
        <w:rPr>
          <w:spacing w:val="-120"/>
          <w:lang w:eastAsia="zh-CN"/>
        </w:rPr>
        <w:t>”</w:t>
      </w:r>
      <w:r>
        <w:rPr>
          <w:lang w:eastAsia="zh-CN"/>
        </w:rPr>
        <w:t>。</w:t>
      </w:r>
    </w:p>
    <w:p>
      <w:pPr>
        <w:rPr>
          <w:rFonts w:ascii="宋体" w:hAnsi="宋体" w:eastAsia="宋体" w:cs="宋体"/>
          <w:sz w:val="24"/>
          <w:szCs w:val="24"/>
          <w:lang w:eastAsia="zh-CN"/>
        </w:rPr>
      </w:pPr>
    </w:p>
    <w:p>
      <w:pPr>
        <w:rPr>
          <w:rFonts w:ascii="宋体" w:hAnsi="宋体" w:eastAsia="宋体" w:cs="宋体"/>
          <w:sz w:val="24"/>
          <w:szCs w:val="24"/>
          <w:lang w:eastAsia="zh-CN"/>
        </w:rPr>
      </w:pPr>
    </w:p>
    <w:p>
      <w:pPr>
        <w:rPr>
          <w:rFonts w:ascii="宋体" w:hAnsi="宋体" w:eastAsia="宋体" w:cs="宋体"/>
          <w:sz w:val="24"/>
          <w:szCs w:val="24"/>
          <w:lang w:eastAsia="zh-CN"/>
        </w:rPr>
      </w:pPr>
    </w:p>
    <w:p>
      <w:pPr>
        <w:pStyle w:val="2"/>
        <w:spacing w:before="181" w:line="367" w:lineRule="auto"/>
        <w:ind w:left="378" w:right="5468"/>
        <w:rPr>
          <w:lang w:eastAsia="zh-CN"/>
        </w:rPr>
      </w:pPr>
      <w:r>
        <w:rPr>
          <w:lang w:eastAsia="zh-CN"/>
        </w:rPr>
        <w:t>供应商 （公章</w:t>
      </w:r>
      <w:r>
        <w:rPr>
          <w:spacing w:val="-120"/>
          <w:lang w:eastAsia="zh-CN"/>
        </w:rPr>
        <w:t>）</w:t>
      </w:r>
      <w:r>
        <w:rPr>
          <w:lang w:eastAsia="zh-CN"/>
        </w:rPr>
        <w:t xml:space="preserve">： </w:t>
      </w:r>
    </w:p>
    <w:p>
      <w:pPr>
        <w:pStyle w:val="2"/>
        <w:spacing w:before="181" w:line="367" w:lineRule="auto"/>
        <w:ind w:left="378" w:right="5468"/>
        <w:rPr>
          <w:lang w:eastAsia="zh-CN"/>
        </w:rPr>
      </w:pPr>
      <w:r>
        <w:rPr>
          <w:lang w:eastAsia="zh-CN"/>
        </w:rPr>
        <w:t>法定代表人或授权代理人</w:t>
      </w:r>
      <w:r>
        <w:rPr>
          <w:spacing w:val="-120"/>
          <w:lang w:eastAsia="zh-CN"/>
        </w:rPr>
        <w:t>：</w:t>
      </w:r>
      <w:r>
        <w:rPr>
          <w:lang w:eastAsia="zh-CN"/>
        </w:rPr>
        <w:t>（签字）</w:t>
      </w:r>
    </w:p>
    <w:p>
      <w:pPr>
        <w:rPr>
          <w:rFonts w:ascii="宋体" w:hAnsi="宋体" w:eastAsia="宋体" w:cs="宋体"/>
          <w:sz w:val="20"/>
          <w:szCs w:val="20"/>
          <w:lang w:eastAsia="zh-CN"/>
        </w:rPr>
      </w:pPr>
    </w:p>
    <w:p>
      <w:pPr>
        <w:spacing w:before="9"/>
        <w:rPr>
          <w:rFonts w:ascii="宋体" w:hAnsi="宋体" w:eastAsia="宋体" w:cs="宋体"/>
          <w:sz w:val="17"/>
          <w:szCs w:val="17"/>
          <w:lang w:eastAsia="zh-CN"/>
        </w:rPr>
      </w:pPr>
    </w:p>
    <w:p>
      <w:pPr>
        <w:pStyle w:val="2"/>
        <w:tabs>
          <w:tab w:val="left" w:pos="599"/>
          <w:tab w:val="left" w:pos="1199"/>
        </w:tabs>
        <w:ind w:left="0" w:right="257"/>
        <w:jc w:val="right"/>
        <w:rPr>
          <w:lang w:eastAsia="zh-CN"/>
        </w:rPr>
        <w:sectPr>
          <w:pgSz w:w="11910" w:h="16840"/>
          <w:pgMar w:top="1440" w:right="1080" w:bottom="1440" w:left="1080" w:header="1020" w:footer="720" w:gutter="0"/>
          <w:pgNumType w:fmt="decimal"/>
          <w:cols w:space="720" w:num="1"/>
        </w:sectPr>
      </w:pPr>
      <w:r>
        <w:rPr>
          <w:lang w:eastAsia="zh-CN"/>
        </w:rPr>
        <w:t>年</w:t>
      </w:r>
      <w:r>
        <w:rPr>
          <w:lang w:eastAsia="zh-CN"/>
        </w:rPr>
        <w:tab/>
      </w:r>
      <w:r>
        <w:rPr>
          <w:lang w:eastAsia="zh-CN"/>
        </w:rPr>
        <w:t>月</w:t>
      </w:r>
      <w:r>
        <w:rPr>
          <w:lang w:eastAsia="zh-CN"/>
        </w:rPr>
        <w:tab/>
      </w:r>
      <w:r>
        <w:rPr>
          <w:lang w:eastAsia="zh-CN"/>
        </w:rPr>
        <w:t>日</w:t>
      </w:r>
    </w:p>
    <w:p>
      <w:pPr>
        <w:spacing w:line="460" w:lineRule="exact"/>
        <w:rPr>
          <w:rFonts w:hint="default" w:ascii="宋体" w:hAnsi="宋体" w:eastAsia="宋体" w:cs="宋体"/>
          <w:kern w:val="1"/>
          <w:sz w:val="24"/>
          <w:szCs w:val="20"/>
          <w:lang w:val="en-US" w:eastAsia="zh-CN"/>
        </w:rPr>
      </w:pPr>
      <w:r>
        <w:rPr>
          <w:rFonts w:hint="eastAsia" w:ascii="宋体" w:hAnsi="宋体" w:eastAsia="宋体" w:cs="宋体"/>
          <w:kern w:val="1"/>
          <w:sz w:val="24"/>
          <w:szCs w:val="20"/>
          <w:lang w:val="en-US" w:eastAsia="zh-CN"/>
        </w:rPr>
        <w:t>附件九：</w:t>
      </w:r>
    </w:p>
    <w:p>
      <w:pPr>
        <w:spacing w:before="55"/>
        <w:ind w:left="1719" w:right="1996"/>
        <w:jc w:val="center"/>
        <w:rPr>
          <w:b/>
          <w:sz w:val="32"/>
          <w:lang w:eastAsia="zh-CN"/>
        </w:rPr>
      </w:pPr>
      <w:r>
        <w:rPr>
          <w:b/>
          <w:w w:val="95"/>
          <w:sz w:val="32"/>
          <w:lang w:eastAsia="zh-CN"/>
        </w:rPr>
        <w:t>投标</w:t>
      </w:r>
      <w:r>
        <w:rPr>
          <w:rFonts w:hint="eastAsia"/>
          <w:b/>
          <w:w w:val="95"/>
          <w:sz w:val="32"/>
          <w:lang w:eastAsia="zh-CN"/>
        </w:rPr>
        <w:t>单位</w:t>
      </w:r>
      <w:r>
        <w:rPr>
          <w:b/>
          <w:w w:val="95"/>
          <w:sz w:val="32"/>
          <w:lang w:eastAsia="zh-CN"/>
        </w:rPr>
        <w:t>对</w:t>
      </w:r>
      <w:r>
        <w:rPr>
          <w:rFonts w:hint="eastAsia"/>
          <w:b/>
          <w:w w:val="95"/>
          <w:sz w:val="32"/>
          <w:lang w:eastAsia="zh-CN"/>
        </w:rPr>
        <w:t>投标文件</w:t>
      </w:r>
      <w:r>
        <w:rPr>
          <w:b/>
          <w:w w:val="95"/>
          <w:sz w:val="32"/>
          <w:lang w:eastAsia="zh-CN"/>
        </w:rPr>
        <w:t>的真实性承诺</w:t>
      </w:r>
    </w:p>
    <w:p>
      <w:pPr>
        <w:pStyle w:val="2"/>
        <w:rPr>
          <w:b/>
          <w:sz w:val="32"/>
          <w:lang w:eastAsia="zh-CN"/>
        </w:rPr>
      </w:pPr>
    </w:p>
    <w:p>
      <w:pPr>
        <w:pStyle w:val="2"/>
        <w:spacing w:before="11"/>
        <w:rPr>
          <w:b/>
          <w:sz w:val="47"/>
          <w:lang w:eastAsia="zh-CN"/>
        </w:rPr>
      </w:pPr>
    </w:p>
    <w:p>
      <w:pPr>
        <w:pStyle w:val="2"/>
        <w:ind w:left="295"/>
        <w:rPr>
          <w:sz w:val="24"/>
          <w:szCs w:val="28"/>
          <w:lang w:eastAsia="zh-CN"/>
        </w:rPr>
      </w:pPr>
      <w:r>
        <w:rPr>
          <w:sz w:val="24"/>
          <w:szCs w:val="28"/>
          <w:lang w:eastAsia="zh-CN"/>
        </w:rPr>
        <w:t>致</w:t>
      </w:r>
      <w:r>
        <w:rPr>
          <w:rFonts w:hint="eastAsia"/>
          <w:sz w:val="24"/>
          <w:szCs w:val="28"/>
          <w:lang w:eastAsia="zh-CN"/>
        </w:rPr>
        <w:t>山东省临沂市卫生学校</w:t>
      </w:r>
      <w:r>
        <w:rPr>
          <w:rFonts w:hint="eastAsia"/>
          <w:sz w:val="24"/>
          <w:szCs w:val="28"/>
          <w:lang w:val="en-US" w:eastAsia="zh-CN"/>
        </w:rPr>
        <w:t>:</w:t>
      </w:r>
    </w:p>
    <w:p>
      <w:pPr>
        <w:pStyle w:val="2"/>
        <w:rPr>
          <w:sz w:val="24"/>
          <w:szCs w:val="28"/>
          <w:lang w:eastAsia="zh-CN"/>
        </w:rPr>
      </w:pPr>
    </w:p>
    <w:p>
      <w:pPr>
        <w:pStyle w:val="2"/>
        <w:rPr>
          <w:sz w:val="24"/>
          <w:szCs w:val="28"/>
          <w:lang w:eastAsia="zh-CN"/>
        </w:rPr>
      </w:pPr>
    </w:p>
    <w:p>
      <w:pPr>
        <w:pStyle w:val="2"/>
        <w:spacing w:before="8"/>
        <w:rPr>
          <w:sz w:val="24"/>
          <w:szCs w:val="28"/>
          <w:lang w:eastAsia="zh-CN"/>
        </w:rPr>
      </w:pPr>
    </w:p>
    <w:p>
      <w:pPr>
        <w:pStyle w:val="2"/>
        <w:spacing w:line="374" w:lineRule="auto"/>
        <w:ind w:left="295" w:right="529" w:firstLine="480"/>
        <w:jc w:val="both"/>
        <w:rPr>
          <w:sz w:val="24"/>
          <w:szCs w:val="28"/>
          <w:lang w:eastAsia="zh-CN"/>
        </w:rPr>
      </w:pPr>
      <w:r>
        <w:rPr>
          <w:spacing w:val="-1"/>
          <w:sz w:val="24"/>
          <w:szCs w:val="28"/>
          <w:lang w:eastAsia="zh-CN"/>
        </w:rPr>
        <w:t>我单位已认真核实了</w:t>
      </w:r>
      <w:r>
        <w:rPr>
          <w:rFonts w:hint="eastAsia"/>
          <w:spacing w:val="-1"/>
          <w:sz w:val="24"/>
          <w:szCs w:val="28"/>
          <w:lang w:eastAsia="zh-CN"/>
        </w:rPr>
        <w:t>投标文件</w:t>
      </w:r>
      <w:r>
        <w:rPr>
          <w:spacing w:val="-1"/>
          <w:sz w:val="24"/>
          <w:szCs w:val="28"/>
          <w:lang w:eastAsia="zh-CN"/>
        </w:rPr>
        <w:t>的全部资料，所有资料均为真实资料。我单位对</w:t>
      </w:r>
      <w:r>
        <w:rPr>
          <w:rFonts w:hint="eastAsia"/>
          <w:spacing w:val="-1"/>
          <w:sz w:val="24"/>
          <w:szCs w:val="28"/>
          <w:lang w:eastAsia="zh-CN"/>
        </w:rPr>
        <w:t>投标文件</w:t>
      </w:r>
      <w:r>
        <w:rPr>
          <w:spacing w:val="-1"/>
          <w:sz w:val="24"/>
          <w:szCs w:val="28"/>
          <w:lang w:eastAsia="zh-CN"/>
        </w:rPr>
        <w:t>中全部资料的真实性负责，如被证实我单位的</w:t>
      </w:r>
      <w:r>
        <w:rPr>
          <w:rFonts w:hint="eastAsia"/>
          <w:spacing w:val="-1"/>
          <w:sz w:val="24"/>
          <w:szCs w:val="28"/>
          <w:lang w:eastAsia="zh-CN"/>
        </w:rPr>
        <w:t>投标文件</w:t>
      </w:r>
      <w:r>
        <w:rPr>
          <w:spacing w:val="-1"/>
          <w:sz w:val="24"/>
          <w:szCs w:val="28"/>
          <w:lang w:eastAsia="zh-CN"/>
        </w:rPr>
        <w:t>中存在虚假资料的，则视为我单位隐瞒真实情况、提供虚假资料，我单位愿意接受主管部门作出的行政处罚。</w:t>
      </w: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sz w:val="24"/>
          <w:szCs w:val="28"/>
          <w:lang w:eastAsia="zh-CN"/>
        </w:rPr>
      </w:pPr>
    </w:p>
    <w:p>
      <w:pPr>
        <w:pStyle w:val="2"/>
        <w:spacing w:before="159"/>
        <w:ind w:left="656"/>
        <w:rPr>
          <w:sz w:val="24"/>
          <w:szCs w:val="28"/>
          <w:lang w:eastAsia="zh-CN"/>
        </w:rPr>
      </w:pPr>
      <w:r>
        <w:rPr>
          <w:sz w:val="24"/>
          <w:szCs w:val="28"/>
          <w:lang w:eastAsia="zh-CN"/>
        </w:rPr>
        <w:t>承诺单位：（公章）</w:t>
      </w:r>
    </w:p>
    <w:p>
      <w:pPr>
        <w:pStyle w:val="2"/>
        <w:spacing w:before="11"/>
        <w:rPr>
          <w:sz w:val="28"/>
          <w:szCs w:val="28"/>
          <w:lang w:eastAsia="zh-CN"/>
        </w:rPr>
      </w:pPr>
    </w:p>
    <w:p>
      <w:pPr>
        <w:pStyle w:val="2"/>
        <w:ind w:left="656"/>
        <w:rPr>
          <w:sz w:val="24"/>
          <w:szCs w:val="28"/>
          <w:lang w:eastAsia="zh-CN"/>
        </w:rPr>
      </w:pPr>
      <w:r>
        <w:rPr>
          <w:sz w:val="24"/>
          <w:szCs w:val="28"/>
          <w:lang w:eastAsia="zh-CN"/>
        </w:rPr>
        <w:t>法定代表人或委托代理人：</w:t>
      </w:r>
    </w:p>
    <w:p>
      <w:pPr>
        <w:pStyle w:val="2"/>
        <w:rPr>
          <w:lang w:eastAsia="zh-CN"/>
        </w:rPr>
      </w:pPr>
    </w:p>
    <w:p>
      <w:pPr>
        <w:pStyle w:val="2"/>
        <w:rPr>
          <w:lang w:eastAsia="zh-CN"/>
        </w:rPr>
      </w:pPr>
    </w:p>
    <w:p>
      <w:pPr>
        <w:pStyle w:val="2"/>
        <w:rPr>
          <w:lang w:eastAsia="zh-CN"/>
        </w:rPr>
      </w:pPr>
    </w:p>
    <w:p>
      <w:pPr>
        <w:pStyle w:val="2"/>
        <w:spacing w:before="6"/>
        <w:rPr>
          <w:sz w:val="20"/>
          <w:lang w:eastAsia="zh-CN"/>
        </w:rPr>
      </w:pPr>
    </w:p>
    <w:p>
      <w:pPr>
        <w:pStyle w:val="2"/>
        <w:tabs>
          <w:tab w:val="left" w:pos="719"/>
          <w:tab w:val="left" w:pos="1319"/>
        </w:tabs>
        <w:ind w:right="1369"/>
        <w:jc w:val="right"/>
        <w:rPr>
          <w:sz w:val="22"/>
          <w:szCs w:val="24"/>
          <w:lang w:eastAsia="zh-CN"/>
        </w:rPr>
        <w:sectPr>
          <w:pgSz w:w="11910" w:h="16840"/>
          <w:pgMar w:top="1340" w:right="840" w:bottom="1180" w:left="1120" w:header="898" w:footer="997" w:gutter="0"/>
          <w:pgNumType w:fmt="decimal"/>
          <w:cols w:space="720" w:num="1"/>
        </w:sectPr>
      </w:pPr>
      <w:r>
        <w:rPr>
          <w:sz w:val="22"/>
          <w:szCs w:val="24"/>
          <w:lang w:eastAsia="zh-CN"/>
        </w:rPr>
        <w:t>年</w:t>
      </w:r>
      <w:r>
        <w:rPr>
          <w:sz w:val="22"/>
          <w:szCs w:val="24"/>
          <w:lang w:eastAsia="zh-CN"/>
        </w:rPr>
        <w:tab/>
      </w:r>
      <w:r>
        <w:rPr>
          <w:sz w:val="22"/>
          <w:szCs w:val="24"/>
          <w:lang w:eastAsia="zh-CN"/>
        </w:rPr>
        <w:t>月</w:t>
      </w:r>
      <w:r>
        <w:rPr>
          <w:sz w:val="22"/>
          <w:szCs w:val="24"/>
          <w:lang w:eastAsia="zh-CN"/>
        </w:rPr>
        <w:tab/>
      </w:r>
      <w:r>
        <w:rPr>
          <w:sz w:val="22"/>
          <w:szCs w:val="24"/>
          <w:lang w:eastAsia="zh-CN"/>
        </w:rPr>
        <w:t>日</w:t>
      </w:r>
    </w:p>
    <w:p>
      <w:pPr>
        <w:spacing w:line="460" w:lineRule="exact"/>
        <w:rPr>
          <w:rFonts w:hint="eastAsia" w:ascii="宋体" w:hAnsi="宋体" w:eastAsia="宋体" w:cs="宋体"/>
          <w:kern w:val="1"/>
          <w:sz w:val="24"/>
          <w:szCs w:val="20"/>
        </w:rPr>
      </w:pPr>
      <w:r>
        <w:rPr>
          <w:rFonts w:hint="eastAsia" w:ascii="宋体" w:hAnsi="宋体" w:eastAsia="宋体" w:cs="宋体"/>
          <w:kern w:val="1"/>
          <w:sz w:val="24"/>
          <w:szCs w:val="20"/>
        </w:rPr>
        <w:t>附件</w:t>
      </w:r>
      <w:r>
        <w:rPr>
          <w:rFonts w:hint="eastAsia" w:ascii="宋体" w:hAnsi="宋体" w:cs="宋体"/>
          <w:kern w:val="1"/>
          <w:sz w:val="24"/>
          <w:szCs w:val="20"/>
          <w:lang w:val="en-US" w:eastAsia="zh-CN"/>
        </w:rPr>
        <w:t>十</w:t>
      </w:r>
      <w:r>
        <w:rPr>
          <w:rFonts w:hint="eastAsia" w:ascii="宋体" w:hAnsi="宋体" w:eastAsia="宋体" w:cs="宋体"/>
          <w:kern w:val="1"/>
          <w:sz w:val="24"/>
          <w:szCs w:val="20"/>
        </w:rPr>
        <w:t>：</w:t>
      </w:r>
    </w:p>
    <w:p>
      <w:pPr>
        <w:keepNext/>
        <w:keepLines/>
        <w:tabs>
          <w:tab w:val="left" w:pos="1260"/>
        </w:tabs>
        <w:spacing w:line="700" w:lineRule="exact"/>
        <w:ind w:firstLine="562" w:firstLineChars="200"/>
        <w:jc w:val="center"/>
        <w:outlineLvl w:val="1"/>
        <w:rPr>
          <w:rFonts w:hint="eastAsia" w:ascii="宋体" w:hAnsi="宋体" w:cs="宋体"/>
          <w:b/>
          <w:sz w:val="28"/>
          <w:szCs w:val="28"/>
          <w:lang w:val="en-US" w:eastAsia="zh-CN"/>
        </w:rPr>
      </w:pPr>
    </w:p>
    <w:p>
      <w:pPr>
        <w:keepNext/>
        <w:keepLines/>
        <w:tabs>
          <w:tab w:val="left" w:pos="1260"/>
        </w:tabs>
        <w:spacing w:line="700" w:lineRule="exact"/>
        <w:ind w:firstLine="562" w:firstLineChars="200"/>
        <w:jc w:val="center"/>
        <w:outlineLvl w:val="1"/>
        <w:rPr>
          <w:rFonts w:hint="eastAsia" w:ascii="宋体" w:hAnsi="宋体" w:eastAsia="宋体" w:cs="宋体"/>
          <w:b/>
          <w:sz w:val="28"/>
          <w:szCs w:val="28"/>
        </w:rPr>
      </w:pPr>
      <w:r>
        <w:rPr>
          <w:rFonts w:hint="eastAsia" w:ascii="宋体" w:hAnsi="宋体" w:eastAsia="宋体" w:cs="宋体"/>
          <w:b/>
          <w:sz w:val="28"/>
          <w:szCs w:val="28"/>
        </w:rPr>
        <w:t>在经营活动中没有重大违法记录的书面声明函</w:t>
      </w:r>
      <w:bookmarkEnd w:id="66"/>
    </w:p>
    <w:p>
      <w:pPr>
        <w:widowControl/>
        <w:spacing w:line="500" w:lineRule="exact"/>
        <w:jc w:val="center"/>
        <w:rPr>
          <w:rFonts w:hint="eastAsia" w:ascii="宋体" w:hAnsi="宋体" w:eastAsia="宋体" w:cs="宋体"/>
          <w:b/>
          <w:bCs/>
          <w:sz w:val="24"/>
        </w:rPr>
      </w:pPr>
    </w:p>
    <w:p>
      <w:pPr>
        <w:widowControl/>
        <w:spacing w:line="500" w:lineRule="exact"/>
        <w:rPr>
          <w:rFonts w:hint="eastAsia" w:ascii="宋体" w:hAnsi="宋体" w:eastAsia="宋体" w:cs="宋体"/>
          <w:sz w:val="24"/>
        </w:rPr>
      </w:pPr>
      <w:r>
        <w:rPr>
          <w:rFonts w:hint="eastAsia" w:ascii="宋体" w:hAnsi="宋体" w:eastAsia="宋体" w:cs="宋体"/>
          <w:sz w:val="24"/>
        </w:rPr>
        <w:t xml:space="preserve">    我方在参加项目的政府采购活动前3年内，在经营活动中（有/无）重大违法记录。</w:t>
      </w: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ind w:firstLine="960" w:firstLineChars="400"/>
        <w:rPr>
          <w:rFonts w:hint="eastAsia" w:ascii="宋体" w:hAnsi="宋体" w:eastAsia="宋体" w:cs="宋体"/>
          <w:sz w:val="24"/>
        </w:rPr>
      </w:pPr>
      <w:r>
        <w:rPr>
          <w:rFonts w:hint="eastAsia" w:ascii="宋体" w:hAnsi="宋体" w:eastAsia="宋体" w:cs="宋体"/>
          <w:sz w:val="24"/>
        </w:rPr>
        <w:t>供应商（公章）：</w:t>
      </w: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r>
        <w:rPr>
          <w:rFonts w:hint="eastAsia" w:ascii="宋体" w:hAnsi="宋体" w:eastAsia="宋体" w:cs="宋体"/>
          <w:sz w:val="24"/>
        </w:rPr>
        <w:t xml:space="preserve">        法定代表人（签字）：</w:t>
      </w:r>
    </w:p>
    <w:p>
      <w:pPr>
        <w:widowControl/>
        <w:spacing w:line="500" w:lineRule="exact"/>
        <w:rPr>
          <w:rFonts w:hint="eastAsia" w:ascii="宋体" w:hAnsi="宋体" w:eastAsia="宋体" w:cs="宋体"/>
          <w:sz w:val="24"/>
        </w:rPr>
      </w:pPr>
    </w:p>
    <w:p>
      <w:pPr>
        <w:widowControl/>
        <w:spacing w:line="500" w:lineRule="exact"/>
        <w:rPr>
          <w:rFonts w:hint="eastAsia" w:ascii="宋体" w:hAnsi="宋体" w:eastAsia="宋体" w:cs="宋体"/>
          <w:sz w:val="24"/>
        </w:rPr>
      </w:pPr>
    </w:p>
    <w:p>
      <w:pPr>
        <w:widowControl/>
        <w:spacing w:line="500" w:lineRule="exact"/>
        <w:ind w:firstLine="6240" w:firstLineChars="2600"/>
        <w:rPr>
          <w:rFonts w:hint="eastAsia" w:ascii="宋体" w:hAnsi="宋体" w:eastAsia="宋体" w:cs="宋体"/>
          <w:sz w:val="24"/>
        </w:rPr>
      </w:pPr>
      <w:r>
        <w:rPr>
          <w:rFonts w:hint="eastAsia" w:ascii="宋体" w:hAnsi="宋体" w:eastAsia="宋体" w:cs="宋体"/>
          <w:sz w:val="24"/>
        </w:rPr>
        <w:t>日期：  年   月   日</w:t>
      </w: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spacing w:line="460" w:lineRule="exact"/>
        <w:rPr>
          <w:rFonts w:hint="eastAsia" w:ascii="宋体" w:hAnsi="宋体" w:eastAsia="宋体" w:cs="宋体"/>
          <w:kern w:val="1"/>
          <w:sz w:val="24"/>
          <w:szCs w:val="20"/>
        </w:rPr>
      </w:pPr>
      <w:r>
        <w:rPr>
          <w:rFonts w:hint="eastAsia" w:ascii="宋体" w:hAnsi="宋体" w:eastAsia="宋体" w:cs="宋体"/>
          <w:kern w:val="1"/>
          <w:sz w:val="24"/>
          <w:szCs w:val="20"/>
        </w:rPr>
        <w:t>附件</w:t>
      </w:r>
      <w:r>
        <w:rPr>
          <w:rFonts w:hint="eastAsia" w:ascii="宋体" w:hAnsi="宋体" w:cs="宋体"/>
          <w:kern w:val="1"/>
          <w:sz w:val="24"/>
          <w:szCs w:val="20"/>
          <w:lang w:val="en-US" w:eastAsia="zh-CN"/>
        </w:rPr>
        <w:t>十一</w:t>
      </w:r>
      <w:r>
        <w:rPr>
          <w:rFonts w:hint="eastAsia" w:ascii="宋体" w:hAnsi="宋体" w:eastAsia="宋体" w:cs="宋体"/>
          <w:kern w:val="1"/>
          <w:sz w:val="24"/>
          <w:szCs w:val="20"/>
        </w:rPr>
        <w:t>：</w:t>
      </w:r>
    </w:p>
    <w:p>
      <w:pPr>
        <w:keepNext/>
        <w:keepLines/>
        <w:tabs>
          <w:tab w:val="left" w:pos="1260"/>
        </w:tabs>
        <w:spacing w:line="700" w:lineRule="exact"/>
        <w:jc w:val="center"/>
        <w:outlineLvl w:val="1"/>
        <w:rPr>
          <w:rFonts w:hint="eastAsia" w:ascii="宋体" w:hAnsi="宋体" w:eastAsia="宋体" w:cs="宋体"/>
          <w:b/>
          <w:sz w:val="28"/>
          <w:szCs w:val="28"/>
        </w:rPr>
      </w:pPr>
      <w:r>
        <w:rPr>
          <w:rFonts w:hint="eastAsia" w:ascii="宋体" w:hAnsi="宋体" w:eastAsia="宋体" w:cs="宋体"/>
          <w:b/>
          <w:sz w:val="28"/>
          <w:szCs w:val="28"/>
        </w:rPr>
        <w:t>临沂市政府采购供应商反商业贿赂承诺书</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为贯彻落实中央和省市关于治理商业贿赂的有关精神，进一步净化政府采购市场、规范政府采购行为，共同营造和维护竞争有序的政府采购市场，我们作为参加临沂市政府采购的供应商就反商业贿赂向社会郑重承诺：</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一、认真学习并遵守国家相关的法律、法规及社会公德，树立质量为本的理念，诚实守信，依法参与政府采购活动，不搞不正当交易行为。</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二、在政府采购活动中，自觉遵守政府采购的法律法规的规定，依法依规进行政府采购项目招投标及公平交易，建立投标诚信、价格诚信、合同诚信、履约诚信、服务诚信等诚信体系。</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三、不弄虚作假，骗取政府采购供应商资格；不提供虚假资质文件谋取中标或成交；不出借、转让、出卖资质（资格）证书；不允许他人以本企业名义承接或承揽政府采购业务。</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四、不采取“围标、陪标”等商业欺诈手段获得政府采购订单；不采取不正当手段诋毁、排挤其他供应商参与竞争。</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五、在政府采购活动中，不与采购人、采购代理机构及其工作人员和其他供应商串通，损害国家利益、社会公共利益和其他相关人的合法权益。</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六、不向采购人、采购代理机构工作人员、评审委员会成员及其他相关人员行贿或者采取其他不正当手段谋取不合法利益，具体包括：不得赠送礼金、礼品，有价证券、购物券、回扣、佣金、咨询费、劳务费、赞助费、宣传费以及支付旅游费用、报销各种消费凭证等。</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七、按规定与采购人签订政府采购合同，并严格按合同履约，为采购人提供符合质量标准规定的货物、工程和服务，不销售冒牌、走私货物；不擅自变更或终止、转让、转包政府采购合同；主动配合政府采购项目的验收工作。</w:t>
      </w:r>
    </w:p>
    <w:p>
      <w:pPr>
        <w:spacing w:line="400" w:lineRule="exact"/>
        <w:ind w:firstLine="480"/>
        <w:rPr>
          <w:rFonts w:hint="eastAsia" w:ascii="宋体" w:hAnsi="宋体" w:eastAsia="宋体" w:cs="宋体"/>
          <w:kern w:val="1"/>
          <w:sz w:val="24"/>
        </w:rPr>
      </w:pPr>
      <w:r>
        <w:rPr>
          <w:rFonts w:hint="eastAsia" w:ascii="宋体" w:hAnsi="宋体" w:eastAsia="宋体" w:cs="宋体"/>
          <w:kern w:val="1"/>
          <w:sz w:val="24"/>
        </w:rPr>
        <w:t>八、自觉接受政府采购监管部门的监督管理，积极配合检查和调查，并如实反映情况和提供材料。</w:t>
      </w:r>
    </w:p>
    <w:p>
      <w:pPr>
        <w:spacing w:line="400" w:lineRule="exact"/>
        <w:ind w:firstLine="480"/>
        <w:rPr>
          <w:rFonts w:hint="eastAsia" w:ascii="宋体" w:hAnsi="宋体" w:eastAsia="宋体" w:cs="宋体"/>
          <w:kern w:val="1"/>
          <w:sz w:val="24"/>
          <w:lang w:eastAsia="zh-CN"/>
        </w:rPr>
      </w:pPr>
      <w:r>
        <w:rPr>
          <w:rFonts w:hint="eastAsia" w:ascii="宋体" w:hAnsi="宋体" w:eastAsia="宋体" w:cs="宋体"/>
          <w:kern w:val="1"/>
          <w:sz w:val="24"/>
        </w:rPr>
        <w:t>我们将严格遵守上述承诺事项，自愿接受主管（监管）部门和社会各方面的监督，如有违反，自愿接受执法执纪机关和监督管理部门的处理。</w:t>
      </w:r>
    </w:p>
    <w:p>
      <w:pPr>
        <w:pStyle w:val="2"/>
        <w:rPr>
          <w:rFonts w:hint="eastAsia"/>
          <w:lang w:eastAsia="zh-CN"/>
        </w:rPr>
      </w:pPr>
    </w:p>
    <w:p>
      <w:pPr>
        <w:spacing w:line="360" w:lineRule="exact"/>
        <w:rPr>
          <w:rFonts w:hint="eastAsia" w:ascii="宋体" w:hAnsi="宋体" w:eastAsia="宋体" w:cs="宋体"/>
          <w:kern w:val="1"/>
          <w:sz w:val="24"/>
        </w:rPr>
      </w:pPr>
      <w:r>
        <w:rPr>
          <w:rFonts w:hint="eastAsia" w:ascii="宋体" w:hAnsi="宋体" w:eastAsia="宋体" w:cs="宋体"/>
          <w:kern w:val="1"/>
          <w:sz w:val="24"/>
        </w:rPr>
        <w:t xml:space="preserve">    承诺单位：（公章）</w:t>
      </w:r>
    </w:p>
    <w:p>
      <w:pPr>
        <w:spacing w:line="360" w:lineRule="exact"/>
        <w:rPr>
          <w:rFonts w:hint="eastAsia" w:ascii="宋体" w:hAnsi="宋体" w:eastAsia="宋体" w:cs="宋体"/>
          <w:kern w:val="1"/>
          <w:sz w:val="24"/>
        </w:rPr>
      </w:pPr>
    </w:p>
    <w:p>
      <w:pPr>
        <w:spacing w:line="360" w:lineRule="exact"/>
        <w:ind w:firstLine="480" w:firstLineChars="200"/>
        <w:rPr>
          <w:rFonts w:hint="eastAsia" w:ascii="宋体" w:hAnsi="宋体" w:eastAsia="宋体" w:cs="宋体"/>
          <w:kern w:val="1"/>
          <w:sz w:val="24"/>
        </w:rPr>
      </w:pPr>
      <w:r>
        <w:rPr>
          <w:rFonts w:hint="eastAsia" w:ascii="宋体" w:hAnsi="宋体" w:eastAsia="宋体" w:cs="宋体"/>
          <w:kern w:val="1"/>
          <w:sz w:val="24"/>
        </w:rPr>
        <w:t>法定代表人或委托代理人：</w:t>
      </w:r>
    </w:p>
    <w:p>
      <w:pPr>
        <w:spacing w:line="460" w:lineRule="exact"/>
        <w:ind w:firstLine="480"/>
        <w:jc w:val="right"/>
        <w:rPr>
          <w:rFonts w:hint="eastAsia" w:ascii="宋体" w:hAnsi="宋体" w:eastAsia="宋体" w:cs="宋体"/>
          <w:kern w:val="1"/>
          <w:sz w:val="24"/>
        </w:rPr>
      </w:pPr>
      <w:r>
        <w:rPr>
          <w:rFonts w:hint="eastAsia" w:ascii="宋体" w:hAnsi="宋体" w:eastAsia="宋体" w:cs="宋体"/>
          <w:kern w:val="1"/>
          <w:sz w:val="24"/>
        </w:rPr>
        <w:t xml:space="preserve">    年    月    日</w:t>
      </w:r>
    </w:p>
    <w:p>
      <w:pPr>
        <w:spacing w:line="500" w:lineRule="exact"/>
        <w:ind w:left="100"/>
        <w:contextualSpacing/>
        <w:rPr>
          <w:rFonts w:hint="eastAsia" w:ascii="宋体" w:hAnsi="宋体" w:eastAsia="宋体" w:cs="宋体"/>
          <w:b/>
          <w:sz w:val="24"/>
          <w:szCs w:val="20"/>
        </w:rPr>
      </w:pPr>
    </w:p>
    <w:p>
      <w:pPr>
        <w:spacing w:line="460" w:lineRule="exact"/>
        <w:rPr>
          <w:rFonts w:hint="eastAsia" w:ascii="宋体" w:hAnsi="宋体" w:eastAsia="宋体" w:cs="宋体"/>
          <w:kern w:val="1"/>
          <w:sz w:val="24"/>
        </w:rPr>
      </w:pPr>
      <w:bookmarkStart w:id="67" w:name="_Toc76741804"/>
    </w:p>
    <w:p>
      <w:pPr>
        <w:spacing w:line="460" w:lineRule="exact"/>
        <w:rPr>
          <w:rFonts w:hint="eastAsia" w:ascii="宋体" w:hAnsi="宋体" w:eastAsia="宋体" w:cs="宋体"/>
          <w:kern w:val="1"/>
          <w:sz w:val="24"/>
        </w:rPr>
      </w:pPr>
    </w:p>
    <w:p>
      <w:pPr>
        <w:spacing w:line="460" w:lineRule="exact"/>
        <w:rPr>
          <w:rFonts w:hint="eastAsia" w:ascii="宋体" w:hAnsi="宋体" w:cs="宋体"/>
          <w:b/>
          <w:sz w:val="28"/>
          <w:szCs w:val="28"/>
          <w:lang w:val="en-US" w:eastAsia="zh-CN"/>
        </w:rPr>
      </w:pPr>
      <w:r>
        <w:rPr>
          <w:rFonts w:hint="eastAsia" w:ascii="宋体" w:hAnsi="宋体" w:eastAsia="宋体" w:cs="宋体"/>
          <w:kern w:val="1"/>
          <w:sz w:val="24"/>
        </w:rPr>
        <w:t>附件十</w:t>
      </w:r>
      <w:r>
        <w:rPr>
          <w:rFonts w:hint="eastAsia" w:ascii="宋体" w:hAnsi="宋体" w:cs="宋体"/>
          <w:kern w:val="1"/>
          <w:sz w:val="24"/>
          <w:lang w:val="en-US" w:eastAsia="zh-CN"/>
        </w:rPr>
        <w:t>二</w:t>
      </w:r>
      <w:r>
        <w:rPr>
          <w:rFonts w:hint="eastAsia" w:ascii="宋体" w:hAnsi="宋体" w:eastAsia="宋体" w:cs="宋体"/>
          <w:kern w:val="1"/>
          <w:sz w:val="24"/>
        </w:rPr>
        <w:t>：</w:t>
      </w:r>
    </w:p>
    <w:p>
      <w:pPr>
        <w:keepNext/>
        <w:keepLines/>
        <w:tabs>
          <w:tab w:val="left" w:pos="1260"/>
        </w:tabs>
        <w:spacing w:line="700" w:lineRule="exact"/>
        <w:ind w:firstLine="562" w:firstLineChars="200"/>
        <w:jc w:val="center"/>
        <w:outlineLvl w:val="1"/>
        <w:rPr>
          <w:rFonts w:hint="eastAsia" w:ascii="宋体" w:hAnsi="宋体" w:eastAsia="宋体" w:cs="宋体"/>
          <w:b/>
          <w:sz w:val="28"/>
          <w:szCs w:val="28"/>
        </w:rPr>
      </w:pPr>
      <w:r>
        <w:rPr>
          <w:rFonts w:hint="eastAsia" w:ascii="宋体" w:hAnsi="宋体" w:cs="宋体"/>
          <w:b/>
          <w:sz w:val="28"/>
          <w:szCs w:val="28"/>
          <w:lang w:val="en-US" w:eastAsia="zh-CN"/>
        </w:rPr>
        <w:t xml:space="preserve"> </w:t>
      </w:r>
      <w:r>
        <w:rPr>
          <w:rFonts w:hint="eastAsia" w:ascii="宋体" w:hAnsi="宋体" w:eastAsia="宋体" w:cs="宋体"/>
          <w:b/>
          <w:sz w:val="28"/>
          <w:szCs w:val="28"/>
        </w:rPr>
        <w:t>供应商认为需要提交的其它相关资料</w:t>
      </w:r>
      <w:bookmarkEnd w:id="67"/>
    </w:p>
    <w:p>
      <w:pPr>
        <w:widowControl/>
        <w:spacing w:line="500" w:lineRule="exact"/>
        <w:rPr>
          <w:rFonts w:hint="eastAsia" w:ascii="宋体" w:hAnsi="宋体" w:eastAsia="宋体" w:cs="宋体"/>
          <w:b/>
          <w:sz w:val="28"/>
          <w:szCs w:val="28"/>
        </w:rPr>
      </w:pPr>
    </w:p>
    <w:tbl>
      <w:tblPr>
        <w:tblStyle w:val="32"/>
        <w:tblW w:w="9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6" w:hRule="atLeast"/>
          <w:jc w:val="center"/>
        </w:trPr>
        <w:tc>
          <w:tcPr>
            <w:tcW w:w="9121" w:type="dxa"/>
            <w:tcBorders>
              <w:top w:val="single" w:color="000000" w:sz="4" w:space="0"/>
              <w:left w:val="single" w:color="000000" w:sz="4" w:space="0"/>
              <w:bottom w:val="single" w:color="000000" w:sz="4" w:space="0"/>
              <w:right w:val="single" w:color="000000" w:sz="4" w:space="0"/>
            </w:tcBorders>
            <w:vAlign w:val="center"/>
          </w:tcPr>
          <w:p>
            <w:pPr>
              <w:spacing w:line="420" w:lineRule="exact"/>
              <w:rPr>
                <w:rFonts w:hint="eastAsia" w:ascii="宋体" w:hAnsi="宋体" w:eastAsia="宋体" w:cs="宋体"/>
                <w:b/>
                <w:kern w:val="1"/>
                <w:szCs w:val="21"/>
              </w:rPr>
            </w:pPr>
          </w:p>
        </w:tc>
      </w:tr>
    </w:tbl>
    <w:p>
      <w:pPr>
        <w:spacing w:line="460" w:lineRule="exact"/>
        <w:ind w:firstLine="480"/>
        <w:rPr>
          <w:rFonts w:hint="eastAsia" w:ascii="宋体" w:hAnsi="宋体" w:eastAsia="宋体" w:cs="宋体"/>
          <w:kern w:val="1"/>
          <w:sz w:val="24"/>
          <w:szCs w:val="20"/>
        </w:rPr>
      </w:pPr>
    </w:p>
    <w:p>
      <w:pPr>
        <w:spacing w:line="460" w:lineRule="exact"/>
        <w:ind w:firstLine="480"/>
        <w:rPr>
          <w:rFonts w:hint="eastAsia" w:ascii="宋体" w:hAnsi="宋体" w:eastAsia="宋体" w:cs="宋体"/>
          <w:kern w:val="1"/>
          <w:sz w:val="24"/>
          <w:szCs w:val="20"/>
        </w:rPr>
      </w:pPr>
    </w:p>
    <w:p>
      <w:pPr>
        <w:spacing w:line="460" w:lineRule="exact"/>
        <w:ind w:firstLine="480"/>
        <w:rPr>
          <w:rFonts w:hint="eastAsia" w:ascii="宋体" w:hAnsi="宋体" w:eastAsia="宋体" w:cs="宋体"/>
          <w:kern w:val="1"/>
          <w:sz w:val="24"/>
          <w:szCs w:val="20"/>
        </w:rPr>
      </w:pPr>
    </w:p>
    <w:p>
      <w:pPr>
        <w:spacing w:line="460" w:lineRule="exact"/>
        <w:ind w:firstLine="480"/>
        <w:rPr>
          <w:rFonts w:hint="eastAsia" w:ascii="宋体" w:hAnsi="宋体" w:eastAsia="宋体" w:cs="宋体"/>
          <w:kern w:val="1"/>
          <w:sz w:val="24"/>
          <w:szCs w:val="20"/>
        </w:rPr>
      </w:pPr>
    </w:p>
    <w:p>
      <w:pPr>
        <w:spacing w:line="460" w:lineRule="exact"/>
        <w:rPr>
          <w:rFonts w:hint="eastAsia" w:ascii="宋体" w:hAnsi="宋体" w:eastAsia="宋体" w:cs="宋体"/>
          <w:kern w:val="1"/>
          <w:sz w:val="24"/>
          <w:szCs w:val="20"/>
        </w:rPr>
      </w:pPr>
    </w:p>
    <w:p>
      <w:pPr>
        <w:spacing w:line="460" w:lineRule="exact"/>
        <w:ind w:firstLine="480"/>
        <w:rPr>
          <w:rFonts w:hint="eastAsia" w:ascii="宋体" w:hAnsi="宋体" w:eastAsia="宋体" w:cs="宋体"/>
          <w:kern w:val="1"/>
          <w:sz w:val="24"/>
          <w:szCs w:val="20"/>
        </w:rPr>
      </w:pPr>
      <w:r>
        <w:rPr>
          <w:rFonts w:hint="eastAsia" w:ascii="宋体" w:hAnsi="宋体" w:eastAsia="宋体" w:cs="宋体"/>
          <w:kern w:val="1"/>
          <w:sz w:val="24"/>
          <w:szCs w:val="20"/>
        </w:rPr>
        <w:t>供应商（盖章）：</w:t>
      </w:r>
    </w:p>
    <w:p>
      <w:pPr>
        <w:spacing w:line="460" w:lineRule="exact"/>
        <w:ind w:firstLine="480"/>
        <w:rPr>
          <w:rFonts w:hint="eastAsia" w:ascii="宋体" w:hAnsi="宋体" w:eastAsia="宋体" w:cs="宋体"/>
          <w:kern w:val="1"/>
          <w:sz w:val="24"/>
          <w:szCs w:val="20"/>
        </w:rPr>
      </w:pPr>
      <w:r>
        <w:rPr>
          <w:rFonts w:hint="eastAsia" w:ascii="宋体" w:hAnsi="宋体" w:eastAsia="宋体" w:cs="宋体"/>
          <w:kern w:val="1"/>
          <w:sz w:val="24"/>
          <w:szCs w:val="20"/>
        </w:rPr>
        <w:t>法定代表人或全权代表（签字）：</w:t>
      </w:r>
    </w:p>
    <w:p>
      <w:pPr>
        <w:spacing w:line="460" w:lineRule="exact"/>
        <w:ind w:firstLine="480"/>
        <w:jc w:val="both"/>
        <w:rPr>
          <w:rFonts w:hint="eastAsia" w:ascii="宋体" w:hAnsi="宋体" w:eastAsia="宋体" w:cs="宋体"/>
          <w:kern w:val="1"/>
          <w:sz w:val="24"/>
          <w:szCs w:val="20"/>
        </w:rPr>
      </w:pPr>
      <w:r>
        <w:rPr>
          <w:rFonts w:hint="eastAsia" w:ascii="宋体" w:hAnsi="宋体" w:eastAsia="宋体" w:cs="宋体"/>
          <w:kern w:val="1"/>
          <w:sz w:val="24"/>
          <w:szCs w:val="20"/>
        </w:rPr>
        <w:t>日期：    年    月    日</w:t>
      </w:r>
    </w:p>
    <w:p>
      <w:pPr>
        <w:spacing w:line="600" w:lineRule="auto"/>
        <w:ind w:right="979" w:rightChars="466" w:firstLine="420" w:firstLineChars="200"/>
        <w:rPr>
          <w:rFonts w:hint="eastAsia" w:ascii="宋体" w:hAnsi="宋体" w:eastAsia="宋体" w:cs="宋体"/>
        </w:rPr>
      </w:pPr>
    </w:p>
    <w:p>
      <w:pPr>
        <w:spacing w:line="600" w:lineRule="auto"/>
        <w:ind w:right="979" w:rightChars="466" w:firstLine="420" w:firstLineChars="200"/>
        <w:rPr>
          <w:rFonts w:hint="eastAsia" w:ascii="宋体" w:hAnsi="宋体" w:eastAsia="宋体" w:cs="宋体"/>
        </w:rPr>
      </w:pPr>
    </w:p>
    <w:p>
      <w:pPr>
        <w:pStyle w:val="15"/>
        <w:jc w:val="center"/>
        <w:rPr>
          <w:rFonts w:hint="eastAsia"/>
          <w:lang w:val="zh-CN"/>
        </w:rPr>
      </w:pPr>
    </w:p>
    <w:p>
      <w:pPr>
        <w:rPr>
          <w:rFonts w:hint="eastAsia"/>
          <w:lang w:val="zh-CN"/>
        </w:rPr>
      </w:pPr>
    </w:p>
    <w:p>
      <w:pPr>
        <w:spacing w:line="360" w:lineRule="auto"/>
        <w:jc w:val="center"/>
        <w:rPr>
          <w:rFonts w:hint="eastAsia" w:ascii="宋体" w:hAnsi="宋体" w:eastAsia="宋体" w:cs="宋体"/>
          <w:szCs w:val="20"/>
          <w:lang w:val="zh-CN"/>
        </w:rPr>
      </w:pPr>
      <w:r>
        <w:rPr>
          <w:rFonts w:hint="eastAsia" w:ascii="宋体" w:hAnsi="宋体" w:eastAsia="宋体" w:cs="宋体"/>
          <w:b/>
          <w:sz w:val="24"/>
          <w:lang w:val="zh-CN"/>
        </w:rPr>
        <w:t>—— 本页为最后一页 ——</w:t>
      </w:r>
    </w:p>
    <w:sectPr>
      <w:headerReference r:id="rId12" w:type="default"/>
      <w:pgSz w:w="11906" w:h="16838"/>
      <w:pgMar w:top="1440" w:right="1080" w:bottom="1440" w:left="108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汉仪粗仿宋简_.">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hint="eastAsia"/>
      </w:rP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5"/>
      </w:rPr>
    </w:pPr>
    <w:r>
      <w:fldChar w:fldCharType="begin"/>
    </w:r>
    <w:r>
      <w:rPr>
        <w:rStyle w:val="35"/>
      </w:rPr>
      <w:instrText xml:space="preserve">PAGE  </w:instrText>
    </w:r>
    <w:r>
      <w:fldChar w:fldCharType="separate"/>
    </w:r>
    <w:r>
      <w:rPr>
        <w:rStyle w:val="35"/>
      </w:rPr>
      <w:t>21</w: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i/>
        <w:iCs/>
      </w:rPr>
    </w:pPr>
    <w:r>
      <w:rPr>
        <w:rFonts w:hint="eastAsia"/>
        <w:i/>
        <w:iCs/>
      </w:rPr>
      <w:t>山东省临沂卫生学校扩建项目图书信息综合楼</w:t>
    </w:r>
    <w:r>
      <w:rPr>
        <w:rFonts w:hint="eastAsia"/>
        <w:i/>
        <w:iCs/>
        <w:lang w:val="en-US" w:eastAsia="zh-CN"/>
      </w:rPr>
      <w:t>B区</w:t>
    </w:r>
    <w:r>
      <w:rPr>
        <w:rFonts w:hint="eastAsia"/>
        <w:i/>
        <w:iCs/>
      </w:rPr>
      <w:t>图书馆</w:t>
    </w:r>
    <w:r>
      <w:rPr>
        <w:rFonts w:hint="eastAsia"/>
        <w:i/>
        <w:iCs/>
        <w:lang w:eastAsia="zh-CN"/>
      </w:rPr>
      <w:t>及大厅</w:t>
    </w:r>
    <w:r>
      <w:rPr>
        <w:rFonts w:hint="eastAsia"/>
        <w:i/>
        <w:iCs/>
      </w:rPr>
      <w:t>装饰工程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i/>
        <w:iCs/>
      </w:rPr>
    </w:pPr>
    <w:r>
      <w:rPr>
        <w:rFonts w:hint="eastAsia"/>
        <w:i/>
        <w:iCs/>
      </w:rPr>
      <w:t>山东省临沂卫生学校扩建项目图书信息综合楼</w:t>
    </w:r>
    <w:r>
      <w:rPr>
        <w:rFonts w:hint="eastAsia"/>
        <w:i/>
        <w:iCs/>
        <w:lang w:val="en-US" w:eastAsia="zh-CN"/>
      </w:rPr>
      <w:t>B区</w:t>
    </w:r>
    <w:r>
      <w:rPr>
        <w:rFonts w:hint="eastAsia"/>
        <w:i/>
        <w:iCs/>
      </w:rPr>
      <w:t>图书馆</w:t>
    </w:r>
    <w:r>
      <w:rPr>
        <w:rFonts w:hint="eastAsia"/>
        <w:i/>
        <w:iCs/>
        <w:lang w:eastAsia="zh-CN"/>
      </w:rPr>
      <w:t>及大厅</w:t>
    </w:r>
    <w:r>
      <w:rPr>
        <w:rFonts w:hint="eastAsia"/>
        <w:i/>
        <w:iCs/>
      </w:rPr>
      <w:t>装饰工程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eastAsia="宋体"/>
        <w:i/>
        <w:iCs/>
        <w:sz w:val="20"/>
        <w:szCs w:val="22"/>
        <w:lang w:eastAsia="zh-CN"/>
      </w:rPr>
    </w:pPr>
    <w:r>
      <w:rPr>
        <w:rFonts w:hint="eastAsia"/>
        <w:i/>
        <w:iCs/>
        <w:sz w:val="20"/>
        <w:szCs w:val="22"/>
        <w:lang w:eastAsia="zh-CN"/>
      </w:rPr>
      <w:t>山东省临沂卫生学校扩建项目图书信息综合楼B区图书馆及大厅装饰工程</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right"/>
      <w:rPr>
        <w:rFonts w:hint="eastAsia" w:eastAsia="宋体"/>
        <w:sz w:val="20"/>
        <w:szCs w:val="22"/>
        <w:lang w:eastAsia="zh-CN"/>
      </w:rPr>
    </w:pPr>
    <w:r>
      <w:rPr>
        <w:rFonts w:hint="eastAsia"/>
        <w:i/>
        <w:iCs/>
        <w:sz w:val="20"/>
        <w:szCs w:val="22"/>
        <w:lang w:eastAsia="zh-CN"/>
      </w:rPr>
      <w:t>山东省临沂卫生学校扩建项目图书信息综合楼B区图书馆及大厅装饰工程</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eastAsia="宋体"/>
        <w:lang w:eastAsia="zh-CN"/>
      </w:rPr>
    </w:pPr>
    <w:r>
      <w:rPr>
        <w:rFonts w:hint="eastAsia"/>
        <w:i/>
        <w:iCs/>
        <w:lang w:eastAsia="zh-CN"/>
      </w:rPr>
      <w:t>山东省临沂卫生学校扩建项目图书信息综合楼B区图书馆及大厅装饰工程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929AC"/>
    <w:multiLevelType w:val="singleLevel"/>
    <w:tmpl w:val="D39929AC"/>
    <w:lvl w:ilvl="0" w:tentative="0">
      <w:start w:val="6"/>
      <w:numFmt w:val="decimal"/>
      <w:suff w:val="nothing"/>
      <w:lvlText w:val="%1、"/>
      <w:lvlJc w:val="left"/>
    </w:lvl>
  </w:abstractNum>
  <w:abstractNum w:abstractNumId="1">
    <w:nsid w:val="E34E047E"/>
    <w:multiLevelType w:val="singleLevel"/>
    <w:tmpl w:val="E34E047E"/>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AFC5FF9"/>
    <w:multiLevelType w:val="multilevel"/>
    <w:tmpl w:val="1AFC5FF9"/>
    <w:lvl w:ilvl="0" w:tentative="0">
      <w:start w:val="1"/>
      <w:numFmt w:val="japaneseCounting"/>
      <w:lvlText w:val="第%1章"/>
      <w:lvlJc w:val="left"/>
      <w:pPr>
        <w:ind w:left="1455" w:hanging="14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1C6CFA"/>
    <w:multiLevelType w:val="singleLevel"/>
    <w:tmpl w:val="201C6CFA"/>
    <w:lvl w:ilvl="0" w:tentative="0">
      <w:start w:val="1"/>
      <w:numFmt w:val="decimal"/>
      <w:suff w:val="nothing"/>
      <w:lvlText w:val="（%1）"/>
      <w:lvlJc w:val="left"/>
      <w:rPr>
        <w:rFonts w:hint="default"/>
        <w:b w:val="0"/>
        <w:bCs w:val="0"/>
      </w:rPr>
    </w:lvl>
  </w:abstractNum>
  <w:abstractNum w:abstractNumId="5">
    <w:nsid w:val="33C9D130"/>
    <w:multiLevelType w:val="singleLevel"/>
    <w:tmpl w:val="33C9D130"/>
    <w:lvl w:ilvl="0" w:tentative="0">
      <w:start w:val="7"/>
      <w:numFmt w:val="decimal"/>
      <w:suff w:val="nothing"/>
      <w:lvlText w:val="（%1）"/>
      <w:lvlJc w:val="left"/>
    </w:lvl>
  </w:abstractNum>
  <w:abstractNum w:abstractNumId="6">
    <w:nsid w:val="453BDB20"/>
    <w:multiLevelType w:val="singleLevel"/>
    <w:tmpl w:val="453BDB20"/>
    <w:lvl w:ilvl="0" w:tentative="0">
      <w:start w:val="1"/>
      <w:numFmt w:val="decimal"/>
      <w:suff w:val="nothing"/>
      <w:lvlText w:val="（%1）"/>
      <w:lvlJc w:val="left"/>
    </w:lvl>
  </w:abstractNum>
  <w:abstractNum w:abstractNumId="7">
    <w:nsid w:val="53A730A5"/>
    <w:multiLevelType w:val="singleLevel"/>
    <w:tmpl w:val="53A730A5"/>
    <w:lvl w:ilvl="0" w:tentative="0">
      <w:start w:val="2"/>
      <w:numFmt w:val="chineseCounting"/>
      <w:suff w:val="nothing"/>
      <w:lvlText w:val="%1、"/>
      <w:lvlJc w:val="left"/>
      <w:rPr>
        <w:rFonts w:hint="eastAsia"/>
      </w:rPr>
    </w:lvl>
  </w:abstractNum>
  <w:abstractNum w:abstractNumId="8">
    <w:nsid w:val="546C0BDD"/>
    <w:multiLevelType w:val="singleLevel"/>
    <w:tmpl w:val="546C0BDD"/>
    <w:lvl w:ilvl="0" w:tentative="0">
      <w:start w:val="12"/>
      <w:numFmt w:val="decimal"/>
      <w:suff w:val="nothing"/>
      <w:lvlText w:val="%1."/>
      <w:lvlJc w:val="left"/>
    </w:lvl>
  </w:abstractNum>
  <w:abstractNum w:abstractNumId="9">
    <w:nsid w:val="565A6F5F"/>
    <w:multiLevelType w:val="singleLevel"/>
    <w:tmpl w:val="565A6F5F"/>
    <w:lvl w:ilvl="0" w:tentative="0">
      <w:start w:val="6"/>
      <w:numFmt w:val="decimal"/>
      <w:suff w:val="nothing"/>
      <w:lvlText w:val="%1、"/>
      <w:lvlJc w:val="left"/>
    </w:lvl>
  </w:abstractNum>
  <w:num w:numId="1">
    <w:abstractNumId w:val="3"/>
  </w:num>
  <w:num w:numId="2">
    <w:abstractNumId w:val="7"/>
  </w:num>
  <w:num w:numId="3">
    <w:abstractNumId w:val="8"/>
  </w:num>
  <w:num w:numId="4">
    <w:abstractNumId w:val="4"/>
  </w:num>
  <w:num w:numId="5">
    <w:abstractNumId w:val="6"/>
  </w:num>
  <w:num w:numId="6">
    <w:abstractNumId w:val="5"/>
  </w:num>
  <w:num w:numId="7">
    <w:abstractNumId w:val="1"/>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C04D5"/>
    <w:rsid w:val="000275D7"/>
    <w:rsid w:val="00027CD6"/>
    <w:rsid w:val="00027D66"/>
    <w:rsid w:val="0003375A"/>
    <w:rsid w:val="00067BD2"/>
    <w:rsid w:val="00086570"/>
    <w:rsid w:val="000941A0"/>
    <w:rsid w:val="000B2C62"/>
    <w:rsid w:val="000B6469"/>
    <w:rsid w:val="000F2928"/>
    <w:rsid w:val="000F479D"/>
    <w:rsid w:val="00106C13"/>
    <w:rsid w:val="0014763C"/>
    <w:rsid w:val="001873AC"/>
    <w:rsid w:val="0024404F"/>
    <w:rsid w:val="00247C0D"/>
    <w:rsid w:val="0026146D"/>
    <w:rsid w:val="002C6F66"/>
    <w:rsid w:val="002E586D"/>
    <w:rsid w:val="002F2EA5"/>
    <w:rsid w:val="002F5763"/>
    <w:rsid w:val="0031461E"/>
    <w:rsid w:val="00326D76"/>
    <w:rsid w:val="003416C8"/>
    <w:rsid w:val="003447AA"/>
    <w:rsid w:val="0035576E"/>
    <w:rsid w:val="003767CA"/>
    <w:rsid w:val="003C0D37"/>
    <w:rsid w:val="003E6536"/>
    <w:rsid w:val="003F2842"/>
    <w:rsid w:val="00421E82"/>
    <w:rsid w:val="004232C1"/>
    <w:rsid w:val="004319BE"/>
    <w:rsid w:val="00490C4D"/>
    <w:rsid w:val="004A67A2"/>
    <w:rsid w:val="004C20BA"/>
    <w:rsid w:val="00521629"/>
    <w:rsid w:val="00546457"/>
    <w:rsid w:val="00560A05"/>
    <w:rsid w:val="00572F47"/>
    <w:rsid w:val="005850C9"/>
    <w:rsid w:val="005C4A6D"/>
    <w:rsid w:val="005D2874"/>
    <w:rsid w:val="005D33CF"/>
    <w:rsid w:val="005F2850"/>
    <w:rsid w:val="00607346"/>
    <w:rsid w:val="00612ADB"/>
    <w:rsid w:val="00616C10"/>
    <w:rsid w:val="0064314B"/>
    <w:rsid w:val="006510D7"/>
    <w:rsid w:val="006550FC"/>
    <w:rsid w:val="00684004"/>
    <w:rsid w:val="00693A18"/>
    <w:rsid w:val="006B086E"/>
    <w:rsid w:val="006D6BDC"/>
    <w:rsid w:val="007145B1"/>
    <w:rsid w:val="0073103D"/>
    <w:rsid w:val="00754659"/>
    <w:rsid w:val="007674D3"/>
    <w:rsid w:val="007A11D8"/>
    <w:rsid w:val="00883637"/>
    <w:rsid w:val="00897D31"/>
    <w:rsid w:val="008A11C6"/>
    <w:rsid w:val="008A31D0"/>
    <w:rsid w:val="008C04D5"/>
    <w:rsid w:val="008D38C6"/>
    <w:rsid w:val="008E1008"/>
    <w:rsid w:val="008E5E24"/>
    <w:rsid w:val="0091532A"/>
    <w:rsid w:val="00915722"/>
    <w:rsid w:val="0092457A"/>
    <w:rsid w:val="00934B9A"/>
    <w:rsid w:val="00947DD9"/>
    <w:rsid w:val="00967A44"/>
    <w:rsid w:val="009818B1"/>
    <w:rsid w:val="009861C7"/>
    <w:rsid w:val="009A67AF"/>
    <w:rsid w:val="00A07AAE"/>
    <w:rsid w:val="00A10B52"/>
    <w:rsid w:val="00A14B76"/>
    <w:rsid w:val="00A15EF5"/>
    <w:rsid w:val="00A23037"/>
    <w:rsid w:val="00A2362F"/>
    <w:rsid w:val="00A31721"/>
    <w:rsid w:val="00A61CE8"/>
    <w:rsid w:val="00A66D40"/>
    <w:rsid w:val="00A92C7E"/>
    <w:rsid w:val="00AD0951"/>
    <w:rsid w:val="00AD64F6"/>
    <w:rsid w:val="00AE34C7"/>
    <w:rsid w:val="00AF5FA7"/>
    <w:rsid w:val="00B21883"/>
    <w:rsid w:val="00B363A6"/>
    <w:rsid w:val="00B36ED5"/>
    <w:rsid w:val="00B65A6E"/>
    <w:rsid w:val="00B728F3"/>
    <w:rsid w:val="00BA2E70"/>
    <w:rsid w:val="00BB4364"/>
    <w:rsid w:val="00BC0CB9"/>
    <w:rsid w:val="00BE79DF"/>
    <w:rsid w:val="00CB33DF"/>
    <w:rsid w:val="00CD7ABA"/>
    <w:rsid w:val="00CE14E0"/>
    <w:rsid w:val="00CF409B"/>
    <w:rsid w:val="00CF45E2"/>
    <w:rsid w:val="00D622C4"/>
    <w:rsid w:val="00DE3683"/>
    <w:rsid w:val="00DF45DB"/>
    <w:rsid w:val="00EA050E"/>
    <w:rsid w:val="00EA7D7F"/>
    <w:rsid w:val="00ED09CC"/>
    <w:rsid w:val="00EE328B"/>
    <w:rsid w:val="00F07A07"/>
    <w:rsid w:val="00F22293"/>
    <w:rsid w:val="00F44834"/>
    <w:rsid w:val="00F53C2E"/>
    <w:rsid w:val="00F70B67"/>
    <w:rsid w:val="00F86277"/>
    <w:rsid w:val="00FB72F7"/>
    <w:rsid w:val="00FD0D8E"/>
    <w:rsid w:val="01FD5F6B"/>
    <w:rsid w:val="02490AC4"/>
    <w:rsid w:val="02633BCA"/>
    <w:rsid w:val="028B00CB"/>
    <w:rsid w:val="02ED5382"/>
    <w:rsid w:val="03525F75"/>
    <w:rsid w:val="03D64DF8"/>
    <w:rsid w:val="04AF0EEB"/>
    <w:rsid w:val="05505E17"/>
    <w:rsid w:val="064A73D7"/>
    <w:rsid w:val="06AC29A5"/>
    <w:rsid w:val="0711402E"/>
    <w:rsid w:val="076753B3"/>
    <w:rsid w:val="095E2F79"/>
    <w:rsid w:val="0A3208AE"/>
    <w:rsid w:val="0B0A4449"/>
    <w:rsid w:val="0B9730BE"/>
    <w:rsid w:val="0CCA1272"/>
    <w:rsid w:val="0DBB2D83"/>
    <w:rsid w:val="0E552DBD"/>
    <w:rsid w:val="0ED415BA"/>
    <w:rsid w:val="0F2A424A"/>
    <w:rsid w:val="10BC7123"/>
    <w:rsid w:val="10F60887"/>
    <w:rsid w:val="118C384A"/>
    <w:rsid w:val="11BB73DB"/>
    <w:rsid w:val="11E9219A"/>
    <w:rsid w:val="127203E1"/>
    <w:rsid w:val="1303728B"/>
    <w:rsid w:val="131136A1"/>
    <w:rsid w:val="14FB3D9D"/>
    <w:rsid w:val="158A77F0"/>
    <w:rsid w:val="15E776E2"/>
    <w:rsid w:val="1606156C"/>
    <w:rsid w:val="164C62E7"/>
    <w:rsid w:val="171E7730"/>
    <w:rsid w:val="17306175"/>
    <w:rsid w:val="17FF2414"/>
    <w:rsid w:val="19413328"/>
    <w:rsid w:val="19E6081B"/>
    <w:rsid w:val="1B4D40E8"/>
    <w:rsid w:val="1BF731DB"/>
    <w:rsid w:val="1C896A53"/>
    <w:rsid w:val="1CE912A0"/>
    <w:rsid w:val="20484FBC"/>
    <w:rsid w:val="209D487B"/>
    <w:rsid w:val="21466CC1"/>
    <w:rsid w:val="223F664D"/>
    <w:rsid w:val="22D401B1"/>
    <w:rsid w:val="25DB5BC9"/>
    <w:rsid w:val="26AC0AD5"/>
    <w:rsid w:val="26DD00C8"/>
    <w:rsid w:val="270B1988"/>
    <w:rsid w:val="279B1B0E"/>
    <w:rsid w:val="279B3ADF"/>
    <w:rsid w:val="28677149"/>
    <w:rsid w:val="29127DD1"/>
    <w:rsid w:val="2A592A27"/>
    <w:rsid w:val="2AE55C1C"/>
    <w:rsid w:val="2AE81676"/>
    <w:rsid w:val="2B401DF7"/>
    <w:rsid w:val="2C570C7C"/>
    <w:rsid w:val="2CCF780E"/>
    <w:rsid w:val="2D7F42BC"/>
    <w:rsid w:val="2D962D7E"/>
    <w:rsid w:val="2EF50870"/>
    <w:rsid w:val="2F4D56BE"/>
    <w:rsid w:val="2F8D01B1"/>
    <w:rsid w:val="2FFC7C4A"/>
    <w:rsid w:val="307A0B2B"/>
    <w:rsid w:val="31B874FD"/>
    <w:rsid w:val="33096AF0"/>
    <w:rsid w:val="331C5AD4"/>
    <w:rsid w:val="336030DD"/>
    <w:rsid w:val="358B6551"/>
    <w:rsid w:val="35D42696"/>
    <w:rsid w:val="35DD21D4"/>
    <w:rsid w:val="374F3D24"/>
    <w:rsid w:val="37F16A56"/>
    <w:rsid w:val="383F284A"/>
    <w:rsid w:val="39DC5FBD"/>
    <w:rsid w:val="3A2636DC"/>
    <w:rsid w:val="3A856A0F"/>
    <w:rsid w:val="3BC1546A"/>
    <w:rsid w:val="3C681D8A"/>
    <w:rsid w:val="3D255ECD"/>
    <w:rsid w:val="3D3C35F1"/>
    <w:rsid w:val="3EC3599D"/>
    <w:rsid w:val="3F335269"/>
    <w:rsid w:val="3F457ABB"/>
    <w:rsid w:val="3FA90AB4"/>
    <w:rsid w:val="3FDB33E1"/>
    <w:rsid w:val="408D3D4B"/>
    <w:rsid w:val="42B40FB2"/>
    <w:rsid w:val="45E61450"/>
    <w:rsid w:val="45F33E66"/>
    <w:rsid w:val="4609638B"/>
    <w:rsid w:val="460D1F4B"/>
    <w:rsid w:val="46C765D5"/>
    <w:rsid w:val="480A47CD"/>
    <w:rsid w:val="48760E34"/>
    <w:rsid w:val="48B40105"/>
    <w:rsid w:val="499152C8"/>
    <w:rsid w:val="4B8E7CD7"/>
    <w:rsid w:val="4C303F46"/>
    <w:rsid w:val="4C883D82"/>
    <w:rsid w:val="4CA27719"/>
    <w:rsid w:val="4E401611"/>
    <w:rsid w:val="509C604E"/>
    <w:rsid w:val="5206142A"/>
    <w:rsid w:val="526A01B2"/>
    <w:rsid w:val="538708F0"/>
    <w:rsid w:val="53BC2E2C"/>
    <w:rsid w:val="53EC2E48"/>
    <w:rsid w:val="547C5844"/>
    <w:rsid w:val="55214D74"/>
    <w:rsid w:val="567B0265"/>
    <w:rsid w:val="56955A19"/>
    <w:rsid w:val="57122BB6"/>
    <w:rsid w:val="57983EC5"/>
    <w:rsid w:val="589E5929"/>
    <w:rsid w:val="5BE362D9"/>
    <w:rsid w:val="5D5E5F64"/>
    <w:rsid w:val="5DBC7312"/>
    <w:rsid w:val="5F4A0AB9"/>
    <w:rsid w:val="5F602036"/>
    <w:rsid w:val="5F6F5E8B"/>
    <w:rsid w:val="5FB165FA"/>
    <w:rsid w:val="60333D56"/>
    <w:rsid w:val="60F345B8"/>
    <w:rsid w:val="616E075E"/>
    <w:rsid w:val="617E77D6"/>
    <w:rsid w:val="625D1172"/>
    <w:rsid w:val="62C70D09"/>
    <w:rsid w:val="640D4E41"/>
    <w:rsid w:val="64E536C8"/>
    <w:rsid w:val="64EF4242"/>
    <w:rsid w:val="65C347CF"/>
    <w:rsid w:val="66AA1ABD"/>
    <w:rsid w:val="678E6299"/>
    <w:rsid w:val="684B3C30"/>
    <w:rsid w:val="689C1346"/>
    <w:rsid w:val="68D4417F"/>
    <w:rsid w:val="6A723C50"/>
    <w:rsid w:val="6BBB3287"/>
    <w:rsid w:val="6C3B086C"/>
    <w:rsid w:val="6C6B4FA6"/>
    <w:rsid w:val="6DC36570"/>
    <w:rsid w:val="6E4041EB"/>
    <w:rsid w:val="6E4A3C5D"/>
    <w:rsid w:val="6F0A08FB"/>
    <w:rsid w:val="6F394D3C"/>
    <w:rsid w:val="6F9E148D"/>
    <w:rsid w:val="6FC0545D"/>
    <w:rsid w:val="70693D67"/>
    <w:rsid w:val="707D2394"/>
    <w:rsid w:val="70B7323E"/>
    <w:rsid w:val="71436346"/>
    <w:rsid w:val="729B18D8"/>
    <w:rsid w:val="73090EC9"/>
    <w:rsid w:val="73250A2B"/>
    <w:rsid w:val="73524742"/>
    <w:rsid w:val="736E2CA8"/>
    <w:rsid w:val="73D17C39"/>
    <w:rsid w:val="73EA4857"/>
    <w:rsid w:val="73FD261A"/>
    <w:rsid w:val="742C42E4"/>
    <w:rsid w:val="743D707D"/>
    <w:rsid w:val="77672662"/>
    <w:rsid w:val="78414C61"/>
    <w:rsid w:val="79175BAD"/>
    <w:rsid w:val="79793706"/>
    <w:rsid w:val="7A4E3666"/>
    <w:rsid w:val="7B9F6DAC"/>
    <w:rsid w:val="7C236500"/>
    <w:rsid w:val="7C6A0C2B"/>
    <w:rsid w:val="7C6E115F"/>
    <w:rsid w:val="7D241496"/>
    <w:rsid w:val="7D585220"/>
    <w:rsid w:val="7F3E014D"/>
    <w:rsid w:val="7F6776A3"/>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57"/>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1"/>
    <w:pPr>
      <w:ind w:left="118"/>
      <w:outlineLvl w:val="3"/>
    </w:pPr>
    <w:rPr>
      <w:rFonts w:ascii="宋体" w:hAnsi="宋体" w:eastAsia="宋体"/>
      <w:b/>
      <w:bCs/>
      <w:sz w:val="28"/>
      <w:szCs w:val="28"/>
    </w:rPr>
  </w:style>
  <w:style w:type="paragraph" w:styleId="7">
    <w:name w:val="heading 5"/>
    <w:basedOn w:val="1"/>
    <w:next w:val="1"/>
    <w:qFormat/>
    <w:uiPriority w:val="1"/>
    <w:pPr>
      <w:ind w:left="600"/>
      <w:outlineLvl w:val="4"/>
    </w:pPr>
    <w:rPr>
      <w:rFonts w:ascii="宋体" w:hAnsi="宋体" w:eastAsia="宋体"/>
      <w:b/>
      <w:bCs/>
      <w:sz w:val="24"/>
      <w:szCs w:val="24"/>
    </w:rPr>
  </w:style>
  <w:style w:type="paragraph" w:styleId="8">
    <w:name w:val="heading 6"/>
    <w:basedOn w:val="1"/>
    <w:next w:val="1"/>
    <w:qFormat/>
    <w:uiPriority w:val="1"/>
    <w:pPr>
      <w:spacing w:before="29"/>
      <w:ind w:left="118"/>
      <w:outlineLvl w:val="5"/>
    </w:pPr>
    <w:rPr>
      <w:rFonts w:ascii="宋体" w:hAnsi="宋体" w:eastAsia="宋体"/>
      <w:b/>
      <w:bCs/>
      <w:sz w:val="24"/>
      <w:szCs w:val="24"/>
    </w:rPr>
  </w:style>
  <w:style w:type="paragraph" w:styleId="9">
    <w:name w:val="heading 7"/>
    <w:basedOn w:val="1"/>
    <w:next w:val="1"/>
    <w:qFormat/>
    <w:uiPriority w:val="1"/>
    <w:pPr>
      <w:spacing w:before="34"/>
      <w:ind w:left="595"/>
      <w:outlineLvl w:val="6"/>
    </w:pPr>
    <w:rPr>
      <w:rFonts w:ascii="宋体" w:hAnsi="宋体" w:eastAsia="宋体"/>
      <w:b/>
      <w:bCs/>
      <w:sz w:val="24"/>
      <w:szCs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5"/>
    <w:qFormat/>
    <w:uiPriority w:val="0"/>
    <w:pPr>
      <w:spacing w:after="120"/>
    </w:pPr>
    <w:rPr>
      <w:rFonts w:ascii="Calibri" w:hAnsi="Calibri" w:eastAsia="宋体" w:cs="黑体"/>
      <w:szCs w:val="22"/>
    </w:rPr>
  </w:style>
  <w:style w:type="paragraph" w:styleId="10">
    <w:name w:val="toc 7"/>
    <w:basedOn w:val="1"/>
    <w:next w:val="1"/>
    <w:qFormat/>
    <w:uiPriority w:val="0"/>
    <w:pPr>
      <w:ind w:left="1260"/>
      <w:jc w:val="left"/>
    </w:pPr>
    <w:rPr>
      <w:sz w:val="18"/>
      <w:szCs w:val="18"/>
    </w:rPr>
  </w:style>
  <w:style w:type="paragraph" w:styleId="11">
    <w:name w:val="Document Map"/>
    <w:basedOn w:val="1"/>
    <w:link w:val="76"/>
    <w:semiHidden/>
    <w:qFormat/>
    <w:uiPriority w:val="0"/>
    <w:pPr>
      <w:shd w:val="clear" w:color="auto" w:fill="000080"/>
    </w:pPr>
    <w:rPr>
      <w:szCs w:val="20"/>
    </w:rPr>
  </w:style>
  <w:style w:type="paragraph" w:styleId="12">
    <w:name w:val="annotation text"/>
    <w:basedOn w:val="1"/>
    <w:link w:val="73"/>
    <w:unhideWhenUsed/>
    <w:qFormat/>
    <w:uiPriority w:val="0"/>
    <w:pPr>
      <w:jc w:val="left"/>
    </w:pPr>
    <w:rPr>
      <w:rFonts w:ascii="Calibri" w:hAnsi="Calibri" w:cs="黑体"/>
    </w:rPr>
  </w:style>
  <w:style w:type="paragraph" w:styleId="13">
    <w:name w:val="Body Text Indent"/>
    <w:basedOn w:val="1"/>
    <w:next w:val="14"/>
    <w:link w:val="59"/>
    <w:qFormat/>
    <w:uiPriority w:val="0"/>
    <w:pPr>
      <w:spacing w:after="120"/>
      <w:ind w:left="420" w:leftChars="200"/>
    </w:pPr>
    <w:rPr>
      <w:rFonts w:ascii="Calibri" w:hAnsi="Calibri" w:eastAsia="宋体" w:cs="黑体"/>
    </w:rPr>
  </w:style>
  <w:style w:type="paragraph" w:styleId="14">
    <w:name w:val="toc 9"/>
    <w:basedOn w:val="1"/>
    <w:next w:val="1"/>
    <w:qFormat/>
    <w:uiPriority w:val="0"/>
    <w:pPr>
      <w:ind w:left="1680"/>
      <w:jc w:val="left"/>
    </w:pPr>
    <w:rPr>
      <w:sz w:val="18"/>
      <w:szCs w:val="18"/>
    </w:rPr>
  </w:style>
  <w:style w:type="paragraph" w:styleId="15">
    <w:name w:val="index 4"/>
    <w:basedOn w:val="1"/>
    <w:next w:val="1"/>
    <w:qFormat/>
    <w:uiPriority w:val="0"/>
    <w:pPr>
      <w:adjustRightInd w:val="0"/>
      <w:spacing w:line="360" w:lineRule="auto"/>
      <w:ind w:left="960" w:hanging="240"/>
      <w:textAlignment w:val="baseline"/>
    </w:pPr>
    <w:rPr>
      <w:rFonts w:ascii="Times New Roman" w:hAnsi="Times New Roman" w:eastAsia="宋体" w:cs="Times New Roman"/>
      <w:sz w:val="20"/>
    </w:rPr>
  </w:style>
  <w:style w:type="paragraph" w:styleId="16">
    <w:name w:val="toc 5"/>
    <w:basedOn w:val="1"/>
    <w:next w:val="1"/>
    <w:qFormat/>
    <w:uiPriority w:val="0"/>
    <w:pPr>
      <w:ind w:left="840"/>
      <w:jc w:val="left"/>
    </w:pPr>
    <w:rPr>
      <w:sz w:val="18"/>
      <w:szCs w:val="18"/>
    </w:rPr>
  </w:style>
  <w:style w:type="paragraph" w:styleId="17">
    <w:name w:val="toc 3"/>
    <w:basedOn w:val="1"/>
    <w:next w:val="1"/>
    <w:qFormat/>
    <w:uiPriority w:val="0"/>
    <w:pPr>
      <w:ind w:left="420"/>
      <w:jc w:val="left"/>
    </w:pPr>
    <w:rPr>
      <w:i/>
      <w:iCs/>
      <w:sz w:val="20"/>
      <w:szCs w:val="20"/>
    </w:rPr>
  </w:style>
  <w:style w:type="paragraph" w:styleId="18">
    <w:name w:val="Plain Text"/>
    <w:basedOn w:val="1"/>
    <w:link w:val="62"/>
    <w:qFormat/>
    <w:uiPriority w:val="0"/>
    <w:rPr>
      <w:rFonts w:ascii="宋体" w:hAnsi="Courier New" w:eastAsia="宋体" w:cs="黑体"/>
      <w:sz w:val="24"/>
      <w:szCs w:val="22"/>
    </w:rPr>
  </w:style>
  <w:style w:type="paragraph" w:styleId="19">
    <w:name w:val="toc 8"/>
    <w:basedOn w:val="1"/>
    <w:next w:val="1"/>
    <w:qFormat/>
    <w:uiPriority w:val="0"/>
    <w:pPr>
      <w:ind w:left="1470"/>
      <w:jc w:val="left"/>
    </w:pPr>
    <w:rPr>
      <w:sz w:val="18"/>
      <w:szCs w:val="18"/>
    </w:rPr>
  </w:style>
  <w:style w:type="paragraph" w:styleId="20">
    <w:name w:val="Balloon Text"/>
    <w:basedOn w:val="1"/>
    <w:link w:val="55"/>
    <w:unhideWhenUsed/>
    <w:qFormat/>
    <w:uiPriority w:val="99"/>
    <w:rPr>
      <w:sz w:val="18"/>
      <w:szCs w:val="18"/>
    </w:rPr>
  </w:style>
  <w:style w:type="paragraph" w:styleId="21">
    <w:name w:val="footer"/>
    <w:basedOn w:val="1"/>
    <w:link w:val="64"/>
    <w:qFormat/>
    <w:uiPriority w:val="99"/>
    <w:pPr>
      <w:tabs>
        <w:tab w:val="center" w:pos="4153"/>
        <w:tab w:val="right" w:pos="8306"/>
      </w:tabs>
      <w:snapToGrid w:val="0"/>
      <w:jc w:val="left"/>
    </w:pPr>
    <w:rPr>
      <w:rFonts w:ascii="Calibri" w:hAnsi="Calibri" w:eastAsia="宋体" w:cs="黑体"/>
      <w:sz w:val="18"/>
      <w:szCs w:val="18"/>
    </w:rPr>
  </w:style>
  <w:style w:type="paragraph" w:styleId="22">
    <w:name w:val="header"/>
    <w:basedOn w:val="1"/>
    <w:link w:val="60"/>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23">
    <w:name w:val="toc 1"/>
    <w:basedOn w:val="1"/>
    <w:next w:val="1"/>
    <w:qFormat/>
    <w:uiPriority w:val="39"/>
    <w:pPr>
      <w:spacing w:before="120" w:after="120"/>
      <w:jc w:val="left"/>
    </w:pPr>
    <w:rPr>
      <w:b/>
      <w:bCs/>
      <w:caps/>
      <w:sz w:val="20"/>
      <w:szCs w:val="20"/>
    </w:rPr>
  </w:style>
  <w:style w:type="paragraph" w:styleId="24">
    <w:name w:val="toc 4"/>
    <w:basedOn w:val="1"/>
    <w:next w:val="1"/>
    <w:qFormat/>
    <w:uiPriority w:val="0"/>
    <w:pPr>
      <w:ind w:left="630"/>
      <w:jc w:val="left"/>
    </w:pPr>
    <w:rPr>
      <w:sz w:val="18"/>
      <w:szCs w:val="18"/>
    </w:rPr>
  </w:style>
  <w:style w:type="paragraph" w:styleId="25">
    <w:name w:val="Subtitle"/>
    <w:basedOn w:val="1"/>
    <w:next w:val="1"/>
    <w:link w:val="74"/>
    <w:qFormat/>
    <w:uiPriority w:val="0"/>
    <w:pPr>
      <w:spacing w:before="240" w:after="60" w:line="312" w:lineRule="auto"/>
      <w:jc w:val="left"/>
      <w:outlineLvl w:val="1"/>
    </w:pPr>
    <w:rPr>
      <w:rFonts w:ascii="Cambria" w:hAnsi="Cambria" w:eastAsia="华文仿宋"/>
      <w:b/>
      <w:bCs/>
      <w:kern w:val="28"/>
      <w:sz w:val="30"/>
      <w:szCs w:val="32"/>
    </w:rPr>
  </w:style>
  <w:style w:type="paragraph" w:styleId="26">
    <w:name w:val="toc 6"/>
    <w:basedOn w:val="1"/>
    <w:next w:val="1"/>
    <w:qFormat/>
    <w:uiPriority w:val="0"/>
    <w:pPr>
      <w:ind w:left="1050"/>
      <w:jc w:val="left"/>
    </w:pPr>
    <w:rPr>
      <w:sz w:val="18"/>
      <w:szCs w:val="18"/>
    </w:rPr>
  </w:style>
  <w:style w:type="paragraph" w:styleId="27">
    <w:name w:val="toc 2"/>
    <w:basedOn w:val="1"/>
    <w:next w:val="1"/>
    <w:qFormat/>
    <w:uiPriority w:val="39"/>
    <w:pPr>
      <w:ind w:left="210"/>
      <w:jc w:val="left"/>
    </w:pPr>
    <w:rPr>
      <w:smallCaps/>
      <w:sz w:val="20"/>
      <w:szCs w:val="20"/>
    </w:rPr>
  </w:style>
  <w:style w:type="paragraph" w:styleId="28">
    <w:name w:val="Body Text 2"/>
    <w:basedOn w:val="1"/>
    <w:link w:val="61"/>
    <w:qFormat/>
    <w:uiPriority w:val="0"/>
    <w:pPr>
      <w:spacing w:after="120" w:line="480" w:lineRule="auto"/>
    </w:pPr>
    <w:rPr>
      <w:rFonts w:ascii="Calibri" w:hAnsi="Calibri" w:eastAsia="宋体" w:cs="黑体"/>
    </w:rPr>
  </w:style>
  <w:style w:type="paragraph" w:styleId="29">
    <w:name w:val="Normal (Web)"/>
    <w:basedOn w:val="1"/>
    <w:qFormat/>
    <w:uiPriority w:val="99"/>
    <w:rPr>
      <w:sz w:val="24"/>
    </w:rPr>
  </w:style>
  <w:style w:type="paragraph" w:styleId="30">
    <w:name w:val="Body Text First Indent"/>
    <w:basedOn w:val="2"/>
    <w:qFormat/>
    <w:uiPriority w:val="0"/>
    <w:pPr>
      <w:ind w:firstLine="420" w:firstLineChars="100"/>
    </w:pPr>
  </w:style>
  <w:style w:type="paragraph" w:styleId="31">
    <w:name w:val="Body Text First Indent 2"/>
    <w:basedOn w:val="13"/>
    <w:next w:val="30"/>
    <w:link w:val="79"/>
    <w:unhideWhenUsed/>
    <w:qFormat/>
    <w:uiPriority w:val="99"/>
    <w:pPr>
      <w:ind w:firstLine="420" w:firstLineChars="200"/>
    </w:pPr>
    <w:rPr>
      <w:rFonts w:ascii="Times New Roman" w:hAnsi="Times New Roman" w:eastAsia="宋体" w:cs="Times New Roman"/>
    </w:rPr>
  </w:style>
  <w:style w:type="table" w:styleId="33">
    <w:name w:val="Table Grid"/>
    <w:basedOn w:val="3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basedOn w:val="34"/>
    <w:qFormat/>
    <w:uiPriority w:val="99"/>
  </w:style>
  <w:style w:type="character" w:styleId="36">
    <w:name w:val="FollowedHyperlink"/>
    <w:basedOn w:val="34"/>
    <w:unhideWhenUsed/>
    <w:qFormat/>
    <w:uiPriority w:val="99"/>
    <w:rPr>
      <w:color w:val="000000"/>
      <w:u w:val="none"/>
    </w:rPr>
  </w:style>
  <w:style w:type="character" w:styleId="37">
    <w:name w:val="Emphasis"/>
    <w:qFormat/>
    <w:uiPriority w:val="20"/>
    <w:rPr>
      <w:rFonts w:eastAsia="华文仿宋"/>
      <w:iCs/>
      <w:sz w:val="24"/>
    </w:rPr>
  </w:style>
  <w:style w:type="character" w:styleId="38">
    <w:name w:val="Hyperlink"/>
    <w:qFormat/>
    <w:uiPriority w:val="99"/>
    <w:rPr>
      <w:rFonts w:eastAsia="宋体"/>
      <w:color w:val="0000FF"/>
      <w:sz w:val="24"/>
      <w:u w:val="single"/>
    </w:rPr>
  </w:style>
  <w:style w:type="character" w:styleId="39">
    <w:name w:val="annotation reference"/>
    <w:unhideWhenUsed/>
    <w:qFormat/>
    <w:uiPriority w:val="99"/>
    <w:rPr>
      <w:sz w:val="21"/>
      <w:szCs w:val="21"/>
    </w:rPr>
  </w:style>
  <w:style w:type="paragraph" w:customStyle="1" w:styleId="40">
    <w:name w:val="Default"/>
    <w:qFormat/>
    <w:uiPriority w:val="0"/>
    <w:pPr>
      <w:widowControl w:val="0"/>
      <w:autoSpaceDE w:val="0"/>
      <w:autoSpaceDN w:val="0"/>
      <w:adjustRightInd w:val="0"/>
    </w:pPr>
    <w:rPr>
      <w:rFonts w:ascii="汉仪粗仿宋简_." w:hAnsi="Calibri" w:eastAsia="汉仪粗仿宋简_." w:cs="汉仪粗仿宋简_."/>
      <w:color w:val="000000"/>
      <w:sz w:val="24"/>
      <w:szCs w:val="24"/>
      <w:lang w:val="en-US" w:eastAsia="zh-CN" w:bidi="ar-SA"/>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Char"/>
    <w:basedOn w:val="1"/>
    <w:qFormat/>
    <w:uiPriority w:val="0"/>
    <w:pPr>
      <w:adjustRightInd w:val="0"/>
      <w:snapToGrid w:val="0"/>
    </w:pPr>
    <w:rPr>
      <w:sz w:val="30"/>
      <w:szCs w:val="21"/>
    </w:rPr>
  </w:style>
  <w:style w:type="paragraph" w:customStyle="1" w:styleId="44">
    <w:name w:val="Char Char2"/>
    <w:basedOn w:val="1"/>
    <w:qFormat/>
    <w:uiPriority w:val="0"/>
    <w:pPr>
      <w:adjustRightInd w:val="0"/>
      <w:spacing w:line="360" w:lineRule="auto"/>
    </w:pPr>
    <w:rPr>
      <w:kern w:val="0"/>
      <w:sz w:val="24"/>
      <w:szCs w:val="20"/>
    </w:rPr>
  </w:style>
  <w:style w:type="paragraph" w:customStyle="1" w:styleId="45">
    <w:name w:val="_Style 3"/>
    <w:basedOn w:val="1"/>
    <w:qFormat/>
    <w:uiPriority w:val="0"/>
    <w:pPr>
      <w:adjustRightInd w:val="0"/>
      <w:spacing w:line="360" w:lineRule="auto"/>
    </w:pPr>
    <w:rPr>
      <w:kern w:val="0"/>
      <w:sz w:val="24"/>
    </w:rPr>
  </w:style>
  <w:style w:type="paragraph" w:customStyle="1" w:styleId="46">
    <w:name w:val="默认段落字体 Para Char"/>
    <w:basedOn w:val="1"/>
    <w:qFormat/>
    <w:uiPriority w:val="0"/>
    <w:pPr>
      <w:adjustRightInd w:val="0"/>
      <w:spacing w:line="360" w:lineRule="auto"/>
    </w:pPr>
    <w:rPr>
      <w:kern w:val="0"/>
      <w:sz w:val="24"/>
    </w:rPr>
  </w:style>
  <w:style w:type="paragraph" w:customStyle="1" w:styleId="47">
    <w:name w:val="列出段落1"/>
    <w:basedOn w:val="1"/>
    <w:qFormat/>
    <w:uiPriority w:val="0"/>
    <w:pPr>
      <w:ind w:firstLine="420" w:firstLineChars="200"/>
    </w:pPr>
    <w:rPr>
      <w:rFonts w:ascii="Calibri" w:hAnsi="Calibri"/>
      <w:szCs w:val="22"/>
    </w:rPr>
  </w:style>
  <w:style w:type="paragraph" w:customStyle="1" w:styleId="48">
    <w:name w:val="列出段落11"/>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4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5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2">
    <w:name w:val="_Style 5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_Style 5"/>
    <w:basedOn w:val="1"/>
    <w:qFormat/>
    <w:uiPriority w:val="0"/>
    <w:pPr>
      <w:adjustRightInd w:val="0"/>
      <w:spacing w:line="360" w:lineRule="auto"/>
    </w:pPr>
  </w:style>
  <w:style w:type="paragraph" w:customStyle="1" w:styleId="54">
    <w:name w:val="p01"/>
    <w:basedOn w:val="1"/>
    <w:qFormat/>
    <w:uiPriority w:val="0"/>
    <w:pPr>
      <w:widowControl/>
      <w:wordWrap w:val="0"/>
      <w:spacing w:before="150" w:after="100" w:afterAutospacing="1" w:line="432" w:lineRule="auto"/>
      <w:ind w:firstLine="480"/>
      <w:jc w:val="left"/>
    </w:pPr>
    <w:rPr>
      <w:rFonts w:ascii="宋体" w:hAnsi="宋体" w:cs="宋体"/>
      <w:kern w:val="0"/>
      <w:szCs w:val="21"/>
    </w:rPr>
  </w:style>
  <w:style w:type="character" w:customStyle="1" w:styleId="55">
    <w:name w:val="批注框文本 Char"/>
    <w:basedOn w:val="34"/>
    <w:link w:val="20"/>
    <w:qFormat/>
    <w:uiPriority w:val="99"/>
    <w:rPr>
      <w:rFonts w:ascii="Times New Roman" w:hAnsi="Times New Roman" w:eastAsia="宋体" w:cs="Times New Roman"/>
      <w:sz w:val="18"/>
      <w:szCs w:val="18"/>
    </w:rPr>
  </w:style>
  <w:style w:type="character" w:customStyle="1" w:styleId="56">
    <w:name w:val="标题 1 Char"/>
    <w:basedOn w:val="34"/>
    <w:link w:val="3"/>
    <w:qFormat/>
    <w:uiPriority w:val="0"/>
    <w:rPr>
      <w:rFonts w:ascii="Times New Roman" w:hAnsi="Times New Roman" w:eastAsia="宋体" w:cs="Times New Roman"/>
      <w:b/>
      <w:bCs/>
      <w:kern w:val="44"/>
      <w:sz w:val="44"/>
      <w:szCs w:val="44"/>
    </w:rPr>
  </w:style>
  <w:style w:type="character" w:customStyle="1" w:styleId="57">
    <w:name w:val="标题 2 Char"/>
    <w:basedOn w:val="34"/>
    <w:link w:val="4"/>
    <w:qFormat/>
    <w:uiPriority w:val="0"/>
    <w:rPr>
      <w:rFonts w:ascii="Arial" w:hAnsi="Arial" w:eastAsia="黑体" w:cs="Times New Roman"/>
      <w:b/>
      <w:bCs/>
      <w:sz w:val="32"/>
      <w:szCs w:val="32"/>
    </w:rPr>
  </w:style>
  <w:style w:type="character" w:customStyle="1" w:styleId="58">
    <w:name w:val="标题 3 Char"/>
    <w:basedOn w:val="34"/>
    <w:link w:val="5"/>
    <w:qFormat/>
    <w:uiPriority w:val="0"/>
    <w:rPr>
      <w:rFonts w:ascii="Times New Roman" w:hAnsi="Times New Roman" w:eastAsia="宋体" w:cs="Times New Roman"/>
      <w:b/>
      <w:bCs/>
      <w:sz w:val="32"/>
      <w:szCs w:val="32"/>
    </w:rPr>
  </w:style>
  <w:style w:type="character" w:customStyle="1" w:styleId="59">
    <w:name w:val="正文文本缩进 Char"/>
    <w:link w:val="13"/>
    <w:qFormat/>
    <w:uiPriority w:val="0"/>
    <w:rPr>
      <w:szCs w:val="24"/>
    </w:rPr>
  </w:style>
  <w:style w:type="character" w:customStyle="1" w:styleId="60">
    <w:name w:val="页眉 Char"/>
    <w:link w:val="22"/>
    <w:qFormat/>
    <w:uiPriority w:val="99"/>
    <w:rPr>
      <w:sz w:val="18"/>
      <w:szCs w:val="18"/>
    </w:rPr>
  </w:style>
  <w:style w:type="character" w:customStyle="1" w:styleId="61">
    <w:name w:val="正文文本 2 Char"/>
    <w:link w:val="28"/>
    <w:qFormat/>
    <w:uiPriority w:val="0"/>
    <w:rPr>
      <w:szCs w:val="24"/>
    </w:rPr>
  </w:style>
  <w:style w:type="character" w:customStyle="1" w:styleId="62">
    <w:name w:val="纯文本 Char"/>
    <w:link w:val="18"/>
    <w:qFormat/>
    <w:uiPriority w:val="0"/>
    <w:rPr>
      <w:rFonts w:ascii="宋体" w:hAnsi="Courier New"/>
      <w:sz w:val="24"/>
    </w:rPr>
  </w:style>
  <w:style w:type="character" w:customStyle="1" w:styleId="63">
    <w:name w:val="批注框文本 Char1"/>
    <w:qFormat/>
    <w:uiPriority w:val="0"/>
    <w:rPr>
      <w:kern w:val="2"/>
      <w:sz w:val="18"/>
      <w:szCs w:val="18"/>
    </w:rPr>
  </w:style>
  <w:style w:type="character" w:customStyle="1" w:styleId="64">
    <w:name w:val="页脚 Char"/>
    <w:link w:val="21"/>
    <w:qFormat/>
    <w:uiPriority w:val="99"/>
    <w:rPr>
      <w:sz w:val="18"/>
      <w:szCs w:val="18"/>
    </w:rPr>
  </w:style>
  <w:style w:type="character" w:customStyle="1" w:styleId="65">
    <w:name w:val="正文文本 Char"/>
    <w:link w:val="2"/>
    <w:qFormat/>
    <w:uiPriority w:val="0"/>
  </w:style>
  <w:style w:type="character" w:customStyle="1" w:styleId="66">
    <w:name w:val="纯文本 Char1"/>
    <w:qFormat/>
    <w:uiPriority w:val="0"/>
    <w:rPr>
      <w:rFonts w:ascii="宋体" w:hAnsi="Courier New" w:cs="Courier New"/>
      <w:kern w:val="2"/>
      <w:sz w:val="21"/>
      <w:szCs w:val="21"/>
    </w:rPr>
  </w:style>
  <w:style w:type="character" w:customStyle="1" w:styleId="67">
    <w:name w:val="正文文本缩进 Char1"/>
    <w:basedOn w:val="34"/>
    <w:semiHidden/>
    <w:qFormat/>
    <w:uiPriority w:val="99"/>
    <w:rPr>
      <w:rFonts w:ascii="Times New Roman" w:hAnsi="Times New Roman" w:eastAsia="宋体" w:cs="Times New Roman"/>
      <w:szCs w:val="24"/>
    </w:rPr>
  </w:style>
  <w:style w:type="character" w:customStyle="1" w:styleId="68">
    <w:name w:val="正文文本 Char1"/>
    <w:basedOn w:val="34"/>
    <w:semiHidden/>
    <w:qFormat/>
    <w:uiPriority w:val="99"/>
    <w:rPr>
      <w:rFonts w:ascii="Times New Roman" w:hAnsi="Times New Roman" w:eastAsia="宋体" w:cs="Times New Roman"/>
      <w:szCs w:val="24"/>
    </w:rPr>
  </w:style>
  <w:style w:type="character" w:customStyle="1" w:styleId="69">
    <w:name w:val="页眉 Char1"/>
    <w:basedOn w:val="34"/>
    <w:semiHidden/>
    <w:qFormat/>
    <w:uiPriority w:val="99"/>
    <w:rPr>
      <w:rFonts w:ascii="Times New Roman" w:hAnsi="Times New Roman" w:eastAsia="宋体" w:cs="Times New Roman"/>
      <w:sz w:val="18"/>
      <w:szCs w:val="18"/>
    </w:rPr>
  </w:style>
  <w:style w:type="character" w:customStyle="1" w:styleId="70">
    <w:name w:val="页脚 Char1"/>
    <w:basedOn w:val="34"/>
    <w:semiHidden/>
    <w:qFormat/>
    <w:uiPriority w:val="99"/>
    <w:rPr>
      <w:rFonts w:ascii="Times New Roman" w:hAnsi="Times New Roman" w:eastAsia="宋体" w:cs="Times New Roman"/>
      <w:sz w:val="18"/>
      <w:szCs w:val="18"/>
    </w:rPr>
  </w:style>
  <w:style w:type="character" w:customStyle="1" w:styleId="71">
    <w:name w:val="纯文本 Char2"/>
    <w:basedOn w:val="34"/>
    <w:semiHidden/>
    <w:qFormat/>
    <w:uiPriority w:val="99"/>
    <w:rPr>
      <w:rFonts w:ascii="宋体" w:hAnsi="Courier New" w:eastAsia="宋体" w:cs="Courier New"/>
      <w:szCs w:val="21"/>
    </w:rPr>
  </w:style>
  <w:style w:type="character" w:customStyle="1" w:styleId="72">
    <w:name w:val="正文文本 2 Char1"/>
    <w:basedOn w:val="34"/>
    <w:semiHidden/>
    <w:qFormat/>
    <w:uiPriority w:val="99"/>
    <w:rPr>
      <w:rFonts w:ascii="Times New Roman" w:hAnsi="Times New Roman" w:eastAsia="宋体" w:cs="Times New Roman"/>
      <w:szCs w:val="24"/>
    </w:rPr>
  </w:style>
  <w:style w:type="character" w:customStyle="1" w:styleId="73">
    <w:name w:val="批注文字 Char"/>
    <w:link w:val="12"/>
    <w:qFormat/>
    <w:uiPriority w:val="0"/>
    <w:rPr>
      <w:rFonts w:eastAsia="宋体"/>
      <w:szCs w:val="24"/>
    </w:rPr>
  </w:style>
  <w:style w:type="character" w:customStyle="1" w:styleId="74">
    <w:name w:val="副标题 Char1"/>
    <w:link w:val="25"/>
    <w:qFormat/>
    <w:uiPriority w:val="0"/>
    <w:rPr>
      <w:rFonts w:ascii="Cambria" w:hAnsi="Cambria" w:eastAsia="华文仿宋" w:cs="Times New Roman"/>
      <w:b/>
      <w:bCs/>
      <w:kern w:val="28"/>
      <w:sz w:val="30"/>
      <w:szCs w:val="32"/>
    </w:rPr>
  </w:style>
  <w:style w:type="character" w:customStyle="1" w:styleId="75">
    <w:name w:val="副标题 Char"/>
    <w:qFormat/>
    <w:uiPriority w:val="0"/>
    <w:rPr>
      <w:rFonts w:ascii="Cambria" w:hAnsi="Cambria" w:eastAsia="华文仿宋" w:cs="Times New Roman"/>
      <w:b/>
      <w:bCs/>
      <w:kern w:val="28"/>
      <w:sz w:val="30"/>
      <w:szCs w:val="32"/>
    </w:rPr>
  </w:style>
  <w:style w:type="character" w:customStyle="1" w:styleId="76">
    <w:name w:val="文档结构图 Char"/>
    <w:basedOn w:val="34"/>
    <w:link w:val="11"/>
    <w:semiHidden/>
    <w:qFormat/>
    <w:uiPriority w:val="0"/>
    <w:rPr>
      <w:rFonts w:ascii="Times New Roman" w:hAnsi="Times New Roman" w:eastAsia="宋体" w:cs="Times New Roman"/>
      <w:szCs w:val="20"/>
      <w:shd w:val="clear" w:color="auto" w:fill="000080"/>
    </w:rPr>
  </w:style>
  <w:style w:type="character" w:customStyle="1" w:styleId="77">
    <w:name w:val="副标题 Char2"/>
    <w:basedOn w:val="34"/>
    <w:qFormat/>
    <w:uiPriority w:val="11"/>
    <w:rPr>
      <w:rFonts w:ascii="Cambria" w:hAnsi="Cambria" w:eastAsia="宋体" w:cs="黑体"/>
      <w:b/>
      <w:bCs/>
      <w:kern w:val="28"/>
      <w:sz w:val="32"/>
      <w:szCs w:val="32"/>
    </w:rPr>
  </w:style>
  <w:style w:type="character" w:customStyle="1" w:styleId="78">
    <w:name w:val="批注文字 Char1"/>
    <w:basedOn w:val="34"/>
    <w:semiHidden/>
    <w:qFormat/>
    <w:uiPriority w:val="99"/>
    <w:rPr>
      <w:rFonts w:ascii="Times New Roman" w:hAnsi="Times New Roman" w:eastAsia="宋体" w:cs="Times New Roman"/>
      <w:szCs w:val="24"/>
    </w:rPr>
  </w:style>
  <w:style w:type="character" w:customStyle="1" w:styleId="79">
    <w:name w:val="正文首行缩进 2 Char"/>
    <w:basedOn w:val="59"/>
    <w:link w:val="31"/>
    <w:semiHidden/>
    <w:qFormat/>
    <w:uiPriority w:val="99"/>
    <w:rPr>
      <w:kern w:val="2"/>
      <w:sz w:val="21"/>
      <w:szCs w:val="24"/>
    </w:rPr>
  </w:style>
  <w:style w:type="paragraph" w:customStyle="1" w:styleId="80">
    <w:name w:val="_Style 73"/>
    <w:basedOn w:val="1"/>
    <w:next w:val="1"/>
    <w:qFormat/>
    <w:uiPriority w:val="0"/>
    <w:pPr>
      <w:pBdr>
        <w:bottom w:val="single" w:color="auto" w:sz="6" w:space="1"/>
      </w:pBdr>
      <w:jc w:val="center"/>
    </w:pPr>
    <w:rPr>
      <w:rFonts w:ascii="Arial" w:eastAsia="宋体"/>
      <w:vanish/>
      <w:sz w:val="16"/>
    </w:rPr>
  </w:style>
  <w:style w:type="paragraph" w:customStyle="1" w:styleId="81">
    <w:name w:val="_Style 74"/>
    <w:basedOn w:val="1"/>
    <w:next w:val="1"/>
    <w:qFormat/>
    <w:uiPriority w:val="0"/>
    <w:pPr>
      <w:pBdr>
        <w:top w:val="single" w:color="auto" w:sz="6" w:space="1"/>
      </w:pBdr>
      <w:jc w:val="center"/>
    </w:pPr>
    <w:rPr>
      <w:rFonts w:ascii="Arial" w:eastAsia="宋体"/>
      <w:vanish/>
      <w:sz w:val="16"/>
    </w:rPr>
  </w:style>
  <w:style w:type="character" w:customStyle="1" w:styleId="82">
    <w:name w:val="textbox1"/>
    <w:basedOn w:val="34"/>
    <w:qFormat/>
    <w:uiPriority w:val="0"/>
    <w:rPr>
      <w:sz w:val="18"/>
      <w:szCs w:val="18"/>
      <w:bdr w:val="single" w:color="000000" w:sz="2" w:space="0"/>
      <w:shd w:val="clear" w:color="auto" w:fill="FFFFFF"/>
    </w:rPr>
  </w:style>
  <w:style w:type="paragraph" w:customStyle="1" w:styleId="83">
    <w:name w:val="Table Paragraph"/>
    <w:basedOn w:val="1"/>
    <w:qFormat/>
    <w:uiPriority w:val="1"/>
  </w:style>
  <w:style w:type="paragraph" w:customStyle="1" w:styleId="84">
    <w:name w:val="Style1"/>
    <w:basedOn w:val="1"/>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8" textRotate="1"/>
    <customShpInfo spid="_x0000_s4097"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27841</Words>
  <Characters>29590</Characters>
  <Lines>237</Lines>
  <Paragraphs>66</Paragraphs>
  <TotalTime>24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2020-03-08T02:05:00Z</dcterms:created>
  <dc:creator>山东博胜</dc:creator>
  <cp:lastModifiedBy>夏天</cp:lastModifiedBy>
  <cp:lastPrinted>2021-11-27T07:18:00Z</cp:lastPrinted>
  <dcterms:modified xsi:type="dcterms:W3CDTF">2021-11-30T06:09:32Z</dcterms:modified>
  <dc:title>梅家埠街道2021年宅间道路硬化</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373B6B25FC2944228371F7AD8C3690F1</vt:lpwstr>
  </property>
</Properties>
</file>