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山东省临沂卫生学校智慧黑板及配套音响设施采购竞争性磋商公告</w:t>
      </w:r>
    </w:p>
    <w:p>
      <w:pPr>
        <w:keepNext w:val="0"/>
        <w:keepLines w:val="0"/>
        <w:widowControl/>
        <w:suppressLineNumbers w:val="0"/>
        <w:jc w:val="left"/>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pPr>
    </w:p>
    <w:p>
      <w:pPr>
        <w:keepNext w:val="0"/>
        <w:keepLines w:val="0"/>
        <w:widowControl/>
        <w:suppressLineNumbers w:val="0"/>
        <w:jc w:val="left"/>
      </w:pPr>
      <w:r>
        <w:rPr>
          <w:rFonts w:hint="eastAsia" w:ascii="宋体" w:hAnsi="宋体" w:eastAsia="宋体" w:cs="宋体"/>
          <w:i w:val="0"/>
          <w:iCs w:val="0"/>
          <w:caps w:val="0"/>
          <w:color w:val="444444"/>
          <w:spacing w:val="0"/>
          <w:kern w:val="0"/>
          <w:sz w:val="24"/>
          <w:szCs w:val="24"/>
          <w:bdr w:val="none" w:color="auto" w:sz="0" w:space="0"/>
          <w:shd w:val="clear" w:fill="FFFFFF"/>
          <w:lang w:val="en-US" w:eastAsia="zh-CN" w:bidi="ar"/>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山东省临沂卫生学校智慧黑板及配套音响设施采购潜在供应商应在临沂市公共资源交易中心获取磋商文件，并于2022-9-21 09:00:00（北京时间）前递交响应文件。</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项目编号：SDGP371300000202202000561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项目名称：山东省临沂卫生学校智慧黑板及配套音响设施采购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预算金额：105.5万元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采购需求：</w:t>
      </w:r>
    </w:p>
    <w:tbl>
      <w:tblPr>
        <w:tblW w:w="104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3"/>
        <w:gridCol w:w="3741"/>
        <w:gridCol w:w="1441"/>
        <w:gridCol w:w="2645"/>
        <w:gridCol w:w="18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20" w:hRule="atLeast"/>
          <w:jc w:val="center"/>
        </w:trPr>
        <w:tc>
          <w:tcPr>
            <w:tcW w:w="523"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
              <w:jc w:val="center"/>
              <w:rPr>
                <w:rFonts w:hint="default" w:ascii="Calibri" w:hAnsi="Calibri" w:cs="Calibri"/>
                <w:sz w:val="21"/>
                <w:szCs w:val="21"/>
              </w:rPr>
            </w:pPr>
            <w:r>
              <w:rPr>
                <w:rFonts w:hint="eastAsia" w:ascii="宋体" w:hAnsi="宋体" w:eastAsia="宋体" w:cs="宋体"/>
                <w:sz w:val="24"/>
                <w:szCs w:val="24"/>
                <w:bdr w:val="none" w:color="auto" w:sz="0" w:space="0"/>
              </w:rPr>
              <w:t>标的</w:t>
            </w:r>
          </w:p>
        </w:tc>
        <w:tc>
          <w:tcPr>
            <w:tcW w:w="2707" w:type="dxa"/>
            <w:tcBorders>
              <w:top w:val="outset" w:color="auto" w:sz="8" w:space="0"/>
              <w:left w:val="nil"/>
              <w:bottom w:val="outset" w:color="auto" w:sz="8" w:space="0"/>
              <w:right w:val="outset"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
              <w:jc w:val="center"/>
              <w:rPr>
                <w:rFonts w:hint="default" w:ascii="Calibri" w:hAnsi="Calibri" w:cs="Calibri"/>
                <w:sz w:val="21"/>
                <w:szCs w:val="21"/>
              </w:rPr>
            </w:pPr>
            <w:r>
              <w:rPr>
                <w:rFonts w:hint="eastAsia" w:ascii="宋体" w:hAnsi="宋体" w:eastAsia="宋体" w:cs="宋体"/>
                <w:sz w:val="24"/>
                <w:szCs w:val="24"/>
                <w:bdr w:val="none" w:color="auto" w:sz="0" w:space="0"/>
              </w:rPr>
              <w:t>标的名称</w:t>
            </w:r>
          </w:p>
        </w:tc>
        <w:tc>
          <w:tcPr>
            <w:tcW w:w="1043" w:type="dxa"/>
            <w:tcBorders>
              <w:top w:val="outset" w:color="auto" w:sz="8" w:space="0"/>
              <w:left w:val="nil"/>
              <w:bottom w:val="outset" w:color="auto" w:sz="8" w:space="0"/>
              <w:right w:val="outset"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
              <w:jc w:val="center"/>
              <w:rPr>
                <w:rFonts w:hint="default" w:ascii="Calibri" w:hAnsi="Calibri" w:cs="Calibri"/>
                <w:sz w:val="21"/>
                <w:szCs w:val="21"/>
              </w:rPr>
            </w:pPr>
            <w:r>
              <w:rPr>
                <w:rFonts w:hint="eastAsia" w:ascii="宋体" w:hAnsi="宋体" w:eastAsia="宋体" w:cs="宋体"/>
                <w:sz w:val="24"/>
                <w:szCs w:val="24"/>
                <w:bdr w:val="none" w:color="auto" w:sz="0" w:space="0"/>
              </w:rPr>
              <w:t>数量</w:t>
            </w:r>
          </w:p>
        </w:tc>
        <w:tc>
          <w:tcPr>
            <w:tcW w:w="1914" w:type="dxa"/>
            <w:tcBorders>
              <w:top w:val="outset" w:color="auto" w:sz="8" w:space="0"/>
              <w:left w:val="nil"/>
              <w:bottom w:val="outset" w:color="auto" w:sz="8" w:space="0"/>
              <w:right w:val="outset"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
              <w:jc w:val="center"/>
              <w:rPr>
                <w:rFonts w:hint="default" w:ascii="Calibri" w:hAnsi="Calibri" w:cs="Calibri"/>
                <w:sz w:val="21"/>
                <w:szCs w:val="21"/>
              </w:rPr>
            </w:pPr>
            <w:r>
              <w:rPr>
                <w:rFonts w:hint="eastAsia" w:ascii="宋体" w:hAnsi="宋体" w:eastAsia="宋体" w:cs="宋体"/>
                <w:sz w:val="24"/>
                <w:szCs w:val="24"/>
                <w:bdr w:val="none" w:color="auto" w:sz="0" w:space="0"/>
              </w:rPr>
              <w:t>简要技术需求或服务要求</w:t>
            </w:r>
          </w:p>
        </w:tc>
        <w:tc>
          <w:tcPr>
            <w:tcW w:w="1350" w:type="dxa"/>
            <w:tcBorders>
              <w:top w:val="outset" w:color="auto" w:sz="8" w:space="0"/>
              <w:left w:val="nil"/>
              <w:bottom w:val="outset" w:color="auto" w:sz="8" w:space="0"/>
              <w:right w:val="outset"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
              <w:jc w:val="center"/>
              <w:rPr>
                <w:rFonts w:hint="default" w:ascii="Calibri" w:hAnsi="Calibri" w:cs="Calibri"/>
                <w:sz w:val="21"/>
                <w:szCs w:val="21"/>
              </w:rPr>
            </w:pPr>
            <w:r>
              <w:rPr>
                <w:rFonts w:hint="eastAsia" w:ascii="宋体" w:hAnsi="宋体" w:eastAsia="宋体" w:cs="宋体"/>
                <w:sz w:val="24"/>
                <w:szCs w:val="24"/>
                <w:bdr w:val="none" w:color="auto" w:sz="0" w:space="0"/>
              </w:rPr>
              <w:t>本包预算金额（单位：万元）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523" w:type="dxa"/>
            <w:tcBorders>
              <w:top w:val="nil"/>
              <w:left w:val="outset" w:color="auto" w:sz="8" w:space="0"/>
              <w:bottom w:val="outset" w:color="auto" w:sz="8" w:space="0"/>
              <w:right w:val="outset"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rFonts w:hint="default" w:ascii="Calibri" w:hAnsi="Calibri" w:cs="Calibri"/>
                <w:sz w:val="21"/>
                <w:szCs w:val="21"/>
              </w:rPr>
            </w:pPr>
            <w:r>
              <w:rPr>
                <w:rFonts w:hint="eastAsia" w:ascii="宋体" w:hAnsi="宋体" w:eastAsia="宋体" w:cs="宋体"/>
                <w:sz w:val="24"/>
                <w:szCs w:val="24"/>
                <w:bdr w:val="none" w:color="auto" w:sz="0" w:space="0"/>
                <w:vertAlign w:val="baseline"/>
              </w:rPr>
              <w:t>1</w:t>
            </w:r>
          </w:p>
        </w:tc>
        <w:tc>
          <w:tcPr>
            <w:tcW w:w="2707" w:type="dxa"/>
            <w:tcBorders>
              <w:top w:val="nil"/>
              <w:left w:val="nil"/>
              <w:bottom w:val="outset" w:color="auto" w:sz="8" w:space="0"/>
              <w:right w:val="outset" w:color="auto"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山东省临沂卫生学校智慧黑板及配套音响设施采购</w:t>
            </w:r>
          </w:p>
        </w:tc>
        <w:tc>
          <w:tcPr>
            <w:tcW w:w="1043" w:type="dxa"/>
            <w:tcBorders>
              <w:top w:val="nil"/>
              <w:left w:val="nil"/>
              <w:bottom w:val="outset" w:color="auto" w:sz="8" w:space="0"/>
              <w:right w:val="outset"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rFonts w:hint="default" w:ascii="Calibri" w:hAnsi="Calibri" w:cs="Calibri"/>
                <w:sz w:val="21"/>
                <w:szCs w:val="21"/>
              </w:rPr>
            </w:pPr>
            <w:r>
              <w:rPr>
                <w:rFonts w:hint="eastAsia" w:ascii="宋体" w:hAnsi="宋体" w:eastAsia="宋体" w:cs="宋体"/>
                <w:sz w:val="24"/>
                <w:szCs w:val="24"/>
                <w:bdr w:val="none" w:color="auto" w:sz="0" w:space="0"/>
                <w:vertAlign w:val="baseline"/>
              </w:rPr>
              <w:t>1宗</w:t>
            </w:r>
          </w:p>
        </w:tc>
        <w:tc>
          <w:tcPr>
            <w:tcW w:w="1914" w:type="dxa"/>
            <w:tcBorders>
              <w:top w:val="nil"/>
              <w:left w:val="nil"/>
              <w:bottom w:val="outset" w:color="auto" w:sz="8" w:space="0"/>
              <w:right w:val="outset"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rFonts w:hint="default" w:ascii="Calibri" w:hAnsi="Calibri" w:cs="Calibri"/>
                <w:sz w:val="21"/>
                <w:szCs w:val="21"/>
              </w:rPr>
            </w:pPr>
            <w:r>
              <w:rPr>
                <w:rFonts w:hint="eastAsia" w:ascii="宋体" w:hAnsi="宋体" w:eastAsia="宋体" w:cs="宋体"/>
                <w:sz w:val="24"/>
                <w:szCs w:val="24"/>
                <w:bdr w:val="none" w:color="auto" w:sz="0" w:space="0"/>
                <w:vertAlign w:val="baseline"/>
              </w:rPr>
              <w:t>详见磋商文件</w:t>
            </w:r>
          </w:p>
        </w:tc>
        <w:tc>
          <w:tcPr>
            <w:tcW w:w="1350" w:type="dxa"/>
            <w:tcBorders>
              <w:top w:val="nil"/>
              <w:left w:val="nil"/>
              <w:bottom w:val="outset" w:color="auto" w:sz="8" w:space="0"/>
              <w:right w:val="outset" w:color="auto"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105.5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合同履行期限：详见磋商文件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本项目接受联合体投标。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2、落实政府采购政策需满足的资格要求：详见磋商文件。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3、本项目的特定资格要求：（</w:t>
      </w:r>
      <w:r>
        <w:rPr>
          <w:rFonts w:ascii="Arial" w:hAnsi="Arial" w:eastAsia="宋体" w:cs="Arial"/>
          <w:i w:val="0"/>
          <w:iCs w:val="0"/>
          <w:caps w:val="0"/>
          <w:color w:val="444444"/>
          <w:spacing w:val="0"/>
          <w:sz w:val="24"/>
          <w:szCs w:val="24"/>
          <w:bdr w:val="none" w:color="auto" w:sz="0" w:space="0"/>
          <w:shd w:val="clear" w:fill="FFFFFF"/>
        </w:rPr>
        <w:t>1</w:t>
      </w:r>
      <w:r>
        <w:rPr>
          <w:rFonts w:hint="eastAsia" w:ascii="宋体" w:hAnsi="宋体" w:eastAsia="宋体" w:cs="宋体"/>
          <w:i w:val="0"/>
          <w:iCs w:val="0"/>
          <w:caps w:val="0"/>
          <w:color w:val="444444"/>
          <w:spacing w:val="0"/>
          <w:sz w:val="24"/>
          <w:szCs w:val="24"/>
          <w:bdr w:val="none" w:color="auto" w:sz="0" w:space="0"/>
          <w:shd w:val="clear" w:fill="FFFFFF"/>
        </w:rPr>
        <w:t>）在中国境内依法注册，所投产品及配套服务必须符合国家、行业相关标准及强制性要求；（</w:t>
      </w:r>
      <w:r>
        <w:rPr>
          <w:rFonts w:hint="default" w:ascii="Arial" w:hAnsi="Arial" w:eastAsia="宋体" w:cs="Arial"/>
          <w:i w:val="0"/>
          <w:iCs w:val="0"/>
          <w:caps w:val="0"/>
          <w:color w:val="444444"/>
          <w:spacing w:val="0"/>
          <w:sz w:val="24"/>
          <w:szCs w:val="24"/>
          <w:bdr w:val="none" w:color="auto" w:sz="0" w:space="0"/>
          <w:shd w:val="clear" w:fill="FFFFFF"/>
        </w:rPr>
        <w:t>2</w:t>
      </w:r>
      <w:r>
        <w:rPr>
          <w:rFonts w:hint="eastAsia" w:ascii="宋体" w:hAnsi="宋体" w:eastAsia="宋体" w:cs="宋体"/>
          <w:i w:val="0"/>
          <w:iCs w:val="0"/>
          <w:caps w:val="0"/>
          <w:color w:val="444444"/>
          <w:spacing w:val="0"/>
          <w:sz w:val="24"/>
          <w:szCs w:val="24"/>
          <w:bdr w:val="none" w:color="auto" w:sz="0" w:space="0"/>
          <w:shd w:val="clear" w:fill="FFFFFF"/>
        </w:rPr>
        <w:t>）法律法规及磋商文件规定的其他条款。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三、获取磋商文件：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    1、时间：2022年9月9日8时30分至2022年9月19日17时00分，每天上午08:30至12:00，下午12:00至17:00（北京时间，法定节假日除外）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2、地点：临沂市公共资源交易中心。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3、方式：自行下载。响应申请人须在磋商文件获取时间内登录临沂市公共资源交易中心下载磋商文件，否则不具备本项目的响应资格。注：潜在响应申请人应自行关注交易平台，因自身贻误行为导致未成功获取磋商文件及补充（答疑、澄清）文件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4.售价：0元。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1.截止时间：2022年9月21日09时00分（北京时间）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2.地点：临沂市公共资源交易中心。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1.时间：2022年9月21日09时00分（北京时间）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2.地点：临沂市公共资源交易不见面开标系统。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87"/>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采购人：山东省临沂卫生学校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87"/>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地址：临沂市兰山区临西九路与聚才六路交汇处。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87"/>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联系方式：0539-8184209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2.采购代理机构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87"/>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名称：临沂鸿羲建设项目管理有限公司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87"/>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地址：山东省临沂市兰山区鲁商中心A9号楼1单元5楼。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87"/>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联系方式：18953977053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87"/>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项目联系人：刘工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87"/>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联系方式：18953977053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WFiNTBjMDE4MGFiMmE3YWUyNzM0MTBkZWEyMTcifQ=="/>
  </w:docVars>
  <w:rsids>
    <w:rsidRoot w:val="00000000"/>
    <w:rsid w:val="031E4899"/>
    <w:rsid w:val="2E5F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Words>
  <Characters>29</Characters>
  <Lines>0</Lines>
  <Paragraphs>0</Paragraphs>
  <TotalTime>0</TotalTime>
  <ScaleCrop>false</ScaleCrop>
  <LinksUpToDate>false</LinksUpToDate>
  <CharactersWithSpaces>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2021-12-20T00:53:00Z</dcterms:created>
  <dc:creator>Administrator</dc:creator>
  <cp:lastModifiedBy>雨洁</cp:lastModifiedBy>
  <dcterms:modified xsi:type="dcterms:W3CDTF">2022-09-13T07:03:07Z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AE629A3B19D74276B334FE560E56BF12</vt:lpwstr>
  </property>
</Properties>
</file>