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D3BFC">
      <w:pPr>
        <w:jc w:val="left"/>
        <w:rPr>
          <w:rFonts w:hint="eastAsia"/>
          <w:b/>
          <w:bCs/>
          <w:sz w:val="32"/>
          <w:szCs w:val="32"/>
          <w:lang w:val="en-US" w:eastAsia="zh-CN"/>
        </w:rPr>
      </w:pPr>
      <w:r>
        <w:rPr>
          <w:rFonts w:hint="eastAsia" w:ascii="Calibri" w:eastAsia="仿宋"/>
          <w:b/>
          <w:bCs/>
          <w:sz w:val="32"/>
          <w:szCs w:val="32"/>
          <w:lang w:val="en-US" w:eastAsia="zh-CN"/>
        </w:rPr>
        <w:t>学校概况-规章制度-教学管理制度</w:t>
      </w:r>
    </w:p>
    <w:p w14:paraId="7C3769B3">
      <w:pPr>
        <w:pStyle w:val="5"/>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Theme="majorEastAsia" w:hAnsiTheme="majorEastAsia" w:eastAsiaTheme="majorEastAsia" w:cstheme="majorEastAsia"/>
          <w:b/>
          <w:bCs/>
          <w:color w:val="0000FF"/>
          <w:sz w:val="32"/>
          <w:szCs w:val="32"/>
          <w:lang w:val="en-US" w:eastAsia="zh-CN"/>
        </w:rPr>
      </w:pPr>
      <w:r>
        <w:rPr>
          <w:rFonts w:hint="eastAsia"/>
          <w:b/>
          <w:bCs/>
          <w:sz w:val="32"/>
          <w:szCs w:val="32"/>
          <w:lang w:val="en-US" w:eastAsia="zh-CN"/>
        </w:rPr>
        <w:t xml:space="preserve"> </w:t>
      </w:r>
      <w:r>
        <w:rPr>
          <w:rFonts w:hint="eastAsia" w:asciiTheme="majorEastAsia" w:hAnsiTheme="majorEastAsia" w:eastAsiaTheme="majorEastAsia" w:cstheme="majorEastAsia"/>
          <w:b/>
          <w:bCs/>
          <w:sz w:val="32"/>
          <w:szCs w:val="32"/>
          <w:lang w:val="en-US" w:eastAsia="zh-CN"/>
        </w:rPr>
        <w:t xml:space="preserve"> </w:t>
      </w:r>
      <w:r>
        <w:rPr>
          <w:rFonts w:hint="eastAsia" w:asciiTheme="majorEastAsia" w:hAnsiTheme="majorEastAsia" w:eastAsiaTheme="majorEastAsia" w:cstheme="majorEastAsia"/>
          <w:b/>
          <w:bCs/>
          <w:color w:val="000000" w:themeColor="text1"/>
          <w:kern w:val="2"/>
          <w:sz w:val="44"/>
          <w:szCs w:val="44"/>
          <w:lang w:val="en-US" w:eastAsia="zh-CN" w:bidi="ar-SA"/>
          <w14:textFill>
            <w14:solidFill>
              <w14:schemeClr w14:val="tx1"/>
            </w14:solidFill>
          </w14:textFill>
        </w:rPr>
        <w:t>教学指导委员会章程</w:t>
      </w:r>
    </w:p>
    <w:p w14:paraId="7E0A55F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第一章 总则</w:t>
      </w:r>
    </w:p>
    <w:p w14:paraId="1CFE57B7">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第一条 为加强和规范学校教学工作，推进教学改革，提高教学质量</w:t>
      </w:r>
      <w:r>
        <w:rPr>
          <w:rFonts w:hint="eastAsia" w:ascii="方正仿宋_GB2312" w:hAnsi="方正仿宋_GB2312" w:eastAsia="方正仿宋_GB2312" w:cs="方正仿宋_GB2312"/>
          <w:sz w:val="32"/>
          <w:szCs w:val="32"/>
          <w:lang w:val="en-US" w:eastAsia="zh-CN"/>
        </w:rPr>
        <w:t>和</w:t>
      </w:r>
      <w:r>
        <w:rPr>
          <w:rFonts w:hint="eastAsia" w:ascii="方正仿宋_GB2312" w:hAnsi="方正仿宋_GB2312" w:eastAsia="方正仿宋_GB2312" w:cs="方正仿宋_GB2312"/>
          <w:sz w:val="32"/>
          <w:szCs w:val="32"/>
        </w:rPr>
        <w:t>服务质量，</w:t>
      </w:r>
      <w:r>
        <w:rPr>
          <w:rFonts w:hint="eastAsia" w:ascii="方正仿宋_GB2312" w:hAnsi="方正仿宋_GB2312" w:eastAsia="方正仿宋_GB2312" w:cs="方正仿宋_GB2312"/>
          <w:sz w:val="32"/>
          <w:szCs w:val="32"/>
          <w:lang w:val="en-US" w:eastAsia="zh-CN"/>
        </w:rPr>
        <w:t>提升育人水平，</w:t>
      </w:r>
      <w:r>
        <w:rPr>
          <w:rFonts w:hint="eastAsia" w:ascii="方正仿宋_GB2312" w:hAnsi="方正仿宋_GB2312" w:eastAsia="方正仿宋_GB2312" w:cs="方正仿宋_GB2312"/>
          <w:sz w:val="32"/>
          <w:szCs w:val="32"/>
        </w:rPr>
        <w:t>设立山东省临沂卫生学校教学指导委员会（以下简称“校教指委”）。</w:t>
      </w:r>
    </w:p>
    <w:p w14:paraId="3827E64B">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第二条 校教指委在校行政领导下，代表学校对全校教学工作进行研究、审议、指导、服务和协调。</w:t>
      </w:r>
    </w:p>
    <w:p w14:paraId="4E7FF64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lang w:val="en-US" w:eastAsia="zh-CN"/>
        </w:rPr>
        <w:t>第二章 工作职责</w:t>
      </w:r>
    </w:p>
    <w:p w14:paraId="2F49B6A7">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第三条 审定人才培养方案</w:t>
      </w:r>
      <w:r>
        <w:rPr>
          <w:rFonts w:hint="eastAsia" w:ascii="方正仿宋_GB2312" w:hAnsi="方正仿宋_GB2312" w:eastAsia="方正仿宋_GB2312" w:cs="方正仿宋_GB2312"/>
          <w:sz w:val="32"/>
          <w:szCs w:val="32"/>
          <w:highlight w:val="none"/>
          <w:lang w:val="en-US" w:eastAsia="zh-CN"/>
        </w:rPr>
        <w:t>后，提交学校党委会审议</w:t>
      </w:r>
      <w:r>
        <w:rPr>
          <w:rFonts w:hint="eastAsia" w:ascii="方正仿宋_GB2312" w:hAnsi="方正仿宋_GB2312" w:eastAsia="方正仿宋_GB2312" w:cs="方正仿宋_GB2312"/>
          <w:sz w:val="32"/>
          <w:szCs w:val="32"/>
          <w:highlight w:val="none"/>
        </w:rPr>
        <w:t>。</w:t>
      </w:r>
    </w:p>
    <w:p w14:paraId="7B7F8695">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1.负责研究、论证和审定学校各专业人才培养方案。</w:t>
      </w:r>
    </w:p>
    <w:p w14:paraId="4515DFA7">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2.指导各专业教学</w:t>
      </w:r>
      <w:r>
        <w:rPr>
          <w:rFonts w:hint="eastAsia" w:ascii="方正仿宋_GB2312" w:hAnsi="方正仿宋_GB2312" w:eastAsia="方正仿宋_GB2312" w:cs="方正仿宋_GB2312"/>
          <w:sz w:val="32"/>
          <w:szCs w:val="32"/>
          <w:highlight w:val="none"/>
          <w:lang w:val="en-US" w:eastAsia="zh-CN"/>
        </w:rPr>
        <w:t>计划</w:t>
      </w:r>
      <w:r>
        <w:rPr>
          <w:rFonts w:hint="eastAsia" w:ascii="方正仿宋_GB2312" w:hAnsi="方正仿宋_GB2312" w:eastAsia="方正仿宋_GB2312" w:cs="方正仿宋_GB2312"/>
          <w:sz w:val="32"/>
          <w:szCs w:val="32"/>
          <w:highlight w:val="none"/>
        </w:rPr>
        <w:t>和</w:t>
      </w:r>
      <w:r>
        <w:rPr>
          <w:rFonts w:hint="eastAsia" w:ascii="方正仿宋_GB2312" w:hAnsi="方正仿宋_GB2312" w:eastAsia="方正仿宋_GB2312" w:cs="方正仿宋_GB2312"/>
          <w:sz w:val="32"/>
          <w:szCs w:val="32"/>
          <w:highlight w:val="none"/>
          <w:lang w:val="en-US" w:eastAsia="zh-CN"/>
        </w:rPr>
        <w:t>课程标准</w:t>
      </w:r>
      <w:r>
        <w:rPr>
          <w:rFonts w:hint="eastAsia" w:ascii="方正仿宋_GB2312" w:hAnsi="方正仿宋_GB2312" w:eastAsia="方正仿宋_GB2312" w:cs="方正仿宋_GB2312"/>
          <w:sz w:val="32"/>
          <w:szCs w:val="32"/>
          <w:highlight w:val="none"/>
        </w:rPr>
        <w:t>的编写。</w:t>
      </w:r>
    </w:p>
    <w:p w14:paraId="4FCBF313">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第四条 研究重大教学问题。</w:t>
      </w:r>
    </w:p>
    <w:p w14:paraId="16DDA11F">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1.对学校教学改革、</w:t>
      </w:r>
      <w:r>
        <w:rPr>
          <w:rFonts w:hint="eastAsia" w:ascii="方正仿宋_GB2312" w:hAnsi="方正仿宋_GB2312" w:eastAsia="方正仿宋_GB2312" w:cs="方正仿宋_GB2312"/>
          <w:sz w:val="32"/>
          <w:szCs w:val="32"/>
          <w:highlight w:val="none"/>
          <w:lang w:val="en-US" w:eastAsia="zh-CN"/>
        </w:rPr>
        <w:t>专业</w:t>
      </w:r>
      <w:r>
        <w:rPr>
          <w:rFonts w:hint="eastAsia" w:ascii="方正仿宋_GB2312" w:hAnsi="方正仿宋_GB2312" w:eastAsia="方正仿宋_GB2312" w:cs="方正仿宋_GB2312"/>
          <w:sz w:val="32"/>
          <w:szCs w:val="32"/>
          <w:highlight w:val="none"/>
        </w:rPr>
        <w:t>建设、教学管理、教学研究的重大问题进行研究。</w:t>
      </w:r>
    </w:p>
    <w:p w14:paraId="7944B212">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2.对学校教学工作的有关重大决策提供咨询意见。</w:t>
      </w:r>
    </w:p>
    <w:p w14:paraId="7A2498BF">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第五条 指导教学制度建设。</w:t>
      </w:r>
    </w:p>
    <w:p w14:paraId="36DF5C26">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1.指导教学质量标准和监控体系建设。</w:t>
      </w:r>
    </w:p>
    <w:p w14:paraId="58E4CD67">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2.审议学校教学方面的有关规章制度。</w:t>
      </w:r>
    </w:p>
    <w:p w14:paraId="2D1C57A5">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第六条 审议和评议校领导交付的其他教学工作。</w:t>
      </w:r>
    </w:p>
    <w:p w14:paraId="4F4E7EA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第三章 委员会组成</w:t>
      </w:r>
    </w:p>
    <w:p w14:paraId="1B0E4036">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第七条 委员会设主任委员1名，副主任委员2名，委员若干名</w:t>
      </w:r>
      <w:r>
        <w:rPr>
          <w:rFonts w:hint="eastAsia" w:ascii="方正仿宋_GB2312" w:hAnsi="方正仿宋_GB2312" w:eastAsia="方正仿宋_GB2312" w:cs="方正仿宋_GB2312"/>
          <w:sz w:val="32"/>
          <w:szCs w:val="32"/>
          <w:highlight w:val="none"/>
          <w:lang w:eastAsia="zh-CN"/>
        </w:rPr>
        <w:t>。</w:t>
      </w:r>
    </w:p>
    <w:p w14:paraId="1ACFB725">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第八条 校教指委办公室设在教务科，承担常务性工作。</w:t>
      </w:r>
    </w:p>
    <w:p w14:paraId="1695A3C6">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第九条 校教指委办公室设办公室主任1名，由教务科</w:t>
      </w:r>
      <w:r>
        <w:rPr>
          <w:rFonts w:hint="eastAsia" w:ascii="方正仿宋_GB2312" w:hAnsi="方正仿宋_GB2312" w:eastAsia="方正仿宋_GB2312" w:cs="方正仿宋_GB2312"/>
          <w:sz w:val="32"/>
          <w:szCs w:val="32"/>
          <w:highlight w:val="none"/>
          <w:lang w:val="en-US" w:eastAsia="zh-CN"/>
        </w:rPr>
        <w:t>科</w:t>
      </w:r>
      <w:r>
        <w:rPr>
          <w:rFonts w:hint="eastAsia" w:ascii="方正仿宋_GB2312" w:hAnsi="方正仿宋_GB2312" w:eastAsia="方正仿宋_GB2312" w:cs="方正仿宋_GB2312"/>
          <w:sz w:val="32"/>
          <w:szCs w:val="32"/>
          <w:highlight w:val="none"/>
        </w:rPr>
        <w:t>长兼任，设秘书1名，负责日常工作。</w:t>
      </w:r>
    </w:p>
    <w:p w14:paraId="45F2B3F7">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第十条 校教指委委员由学术水平高、教学经验丰富、原则性强的教师和部分教学管理人员组成。</w:t>
      </w:r>
      <w:r>
        <w:rPr>
          <w:rFonts w:hint="eastAsia" w:ascii="方正仿宋_GB2312" w:hAnsi="方正仿宋_GB2312" w:eastAsia="方正仿宋_GB2312" w:cs="方正仿宋_GB2312"/>
          <w:sz w:val="32"/>
          <w:szCs w:val="32"/>
          <w:highlight w:val="none"/>
          <w:lang w:val="en-US" w:eastAsia="zh-CN"/>
        </w:rPr>
        <w:t>由教务部门相关负责人、各专业带头人</w:t>
      </w: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val="en-US" w:eastAsia="zh-CN"/>
        </w:rPr>
        <w:t>骨干教师及行业企业专家组成</w:t>
      </w:r>
      <w:r>
        <w:rPr>
          <w:rFonts w:hint="eastAsia" w:ascii="方正仿宋_GB2312" w:hAnsi="方正仿宋_GB2312" w:eastAsia="方正仿宋_GB2312" w:cs="方正仿宋_GB2312"/>
          <w:sz w:val="32"/>
          <w:szCs w:val="32"/>
          <w:highlight w:val="none"/>
        </w:rPr>
        <w:t>。</w:t>
      </w:r>
    </w:p>
    <w:p w14:paraId="7077D49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第四章 其他</w:t>
      </w:r>
    </w:p>
    <w:p w14:paraId="3955538F">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第十一条 校教指委的工作方式为例会制度，根据工作需要召集会议，会后形成会议纪要。委员会成员应积极参加校教指委召开的各种会议，履行委员职责，并做好会前准备工作。</w:t>
      </w:r>
    </w:p>
    <w:p w14:paraId="2E0713CE">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第十二条 校教指委会议由主任委员召集主持，也可委托常务副主任委员召集并主持会议。</w:t>
      </w:r>
    </w:p>
    <w:p w14:paraId="51C6BB32">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第十三条 各专业部根据本章程，成立专业建设指导委员会，并制订有关制度，开展相关工作。</w:t>
      </w:r>
    </w:p>
    <w:p w14:paraId="21991FC6">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highlight w:val="none"/>
        </w:rPr>
        <w:t>第十四条 本章程由</w:t>
      </w:r>
      <w:r>
        <w:rPr>
          <w:rFonts w:hint="eastAsia" w:ascii="方正仿宋_GB2312" w:hAnsi="方正仿宋_GB2312" w:eastAsia="方正仿宋_GB2312" w:cs="方正仿宋_GB2312"/>
          <w:sz w:val="32"/>
          <w:szCs w:val="32"/>
          <w:highlight w:val="none"/>
          <w:lang w:val="en-US" w:eastAsia="zh-CN"/>
        </w:rPr>
        <w:t>教务科</w:t>
      </w:r>
      <w:r>
        <w:rPr>
          <w:rFonts w:hint="eastAsia" w:ascii="方正仿宋_GB2312" w:hAnsi="方正仿宋_GB2312" w:eastAsia="方正仿宋_GB2312" w:cs="方正仿宋_GB2312"/>
          <w:sz w:val="32"/>
          <w:szCs w:val="32"/>
          <w:highlight w:val="none"/>
        </w:rPr>
        <w:t>负责解释，自颁</w:t>
      </w:r>
      <w:r>
        <w:rPr>
          <w:rFonts w:hint="eastAsia" w:ascii="方正仿宋_GB2312" w:hAnsi="方正仿宋_GB2312" w:eastAsia="方正仿宋_GB2312" w:cs="方正仿宋_GB2312"/>
          <w:sz w:val="32"/>
          <w:szCs w:val="32"/>
        </w:rPr>
        <w:t>布之日起执行。</w:t>
      </w:r>
    </w:p>
    <w:p w14:paraId="33CD4F43">
      <w:pPr>
        <w:pStyle w:val="5"/>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Theme="majorEastAsia" w:hAnsiTheme="majorEastAsia" w:eastAsiaTheme="majorEastAsia" w:cstheme="majorEastAsia"/>
          <w:b/>
          <w:bCs/>
          <w:color w:val="000000" w:themeColor="text1"/>
          <w:kern w:val="2"/>
          <w:sz w:val="44"/>
          <w:szCs w:val="44"/>
          <w:lang w:val="en-US" w:eastAsia="zh-CN" w:bidi="ar-SA"/>
          <w14:textFill>
            <w14:solidFill>
              <w14:schemeClr w14:val="tx1"/>
            </w14:solidFill>
          </w14:textFill>
        </w:rPr>
      </w:pPr>
    </w:p>
    <w:p w14:paraId="2BD90D4A">
      <w:pPr>
        <w:pStyle w:val="5"/>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Theme="majorEastAsia" w:hAnsiTheme="majorEastAsia" w:eastAsiaTheme="majorEastAsia" w:cstheme="majorEastAsia"/>
          <w:b/>
          <w:bCs/>
          <w:color w:val="000000" w:themeColor="text1"/>
          <w:kern w:val="2"/>
          <w:sz w:val="44"/>
          <w:szCs w:val="44"/>
          <w:lang w:val="en-US" w:eastAsia="zh-CN" w:bidi="ar-SA"/>
          <w14:textFill>
            <w14:solidFill>
              <w14:schemeClr w14:val="tx1"/>
            </w14:solidFill>
          </w14:textFill>
        </w:rPr>
      </w:pPr>
      <w:r>
        <w:rPr>
          <w:rFonts w:hint="eastAsia" w:asciiTheme="majorEastAsia" w:hAnsiTheme="majorEastAsia" w:eastAsiaTheme="majorEastAsia" w:cstheme="majorEastAsia"/>
          <w:b/>
          <w:bCs/>
          <w:color w:val="000000" w:themeColor="text1"/>
          <w:kern w:val="2"/>
          <w:sz w:val="44"/>
          <w:szCs w:val="44"/>
          <w:lang w:val="en-US" w:eastAsia="zh-CN" w:bidi="ar-SA"/>
          <w14:textFill>
            <w14:solidFill>
              <w14:schemeClr w14:val="tx1"/>
            </w14:solidFill>
          </w14:textFill>
        </w:rPr>
        <w:t>专业设置与调整优化管理办法</w:t>
      </w:r>
    </w:p>
    <w:p w14:paraId="19B540C7">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为进一步规范学校专业设置，调整优化专业布局与结构，加强专业建设，提升专业内涵，着力促进专业设置与地方经济社会发展需要相适应，聚焦临沂地区经济社会发展、重点产业集群及产业链布局，提高人才培养能力。根据教育部《职业教育专业目录》、山东省教育厅《关于优化职业教育专业设置的指导意见》及《临沂市中等职业学校专业建设工作方案》相关要求，结合学校专业建设实际，制定本办法。</w:t>
      </w:r>
    </w:p>
    <w:p w14:paraId="4690F018">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黑体" w:hAnsi="黑体" w:eastAsia="黑体" w:cs="黑体"/>
          <w:i w:val="0"/>
          <w:strike w:val="0"/>
          <w:color w:val="000000"/>
          <w:spacing w:val="0"/>
          <w:sz w:val="32"/>
          <w:u w:val="none"/>
        </w:rPr>
        <w:t>一、指导思想</w:t>
      </w:r>
    </w:p>
    <w:p w14:paraId="63469016">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坚持以习近平新时代中国特色社会主义思想为指导，全面贯彻党的教育方针，以铸牢中华民族共同体意识为主线，落实立德树人根本任务。立足学校办学定位和目标，进一步完善专业发展和动态调整机制，持续优化专业结构布局，提高人才培养与经济社会发展的契合度，深入分析行业发展、产业规划与社会需求，坚持产教融合、校企合作、科教融汇，打造优势突出、特色鲜明、协调发展的专业体系，全面提高人才培养质量。</w:t>
      </w:r>
    </w:p>
    <w:p w14:paraId="52114A65">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黑体" w:hAnsi="黑体" w:eastAsia="黑体" w:cs="黑体"/>
          <w:i w:val="0"/>
          <w:strike w:val="0"/>
          <w:color w:val="000000"/>
          <w:spacing w:val="0"/>
          <w:sz w:val="32"/>
          <w:u w:val="none"/>
        </w:rPr>
        <w:t>二、专业设置</w:t>
      </w:r>
    </w:p>
    <w:p w14:paraId="343B1B53">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（一）健全“招生</w:t>
      </w:r>
      <w:r>
        <w:rPr>
          <w:rFonts w:hint="eastAsia" w:ascii="仿宋" w:hAnsi="仿宋" w:eastAsia="仿宋" w:cs="仿宋"/>
          <w:i w:val="0"/>
          <w:strike w:val="0"/>
          <w:color w:val="000000"/>
          <w:spacing w:val="0"/>
          <w:sz w:val="32"/>
          <w:u w:val="none"/>
          <w:lang w:eastAsia="zh-CN"/>
        </w:rPr>
        <w:t>－</w:t>
      </w:r>
      <w:r>
        <w:rPr>
          <w:rFonts w:ascii="仿宋" w:hAnsi="仿宋" w:eastAsia="仿宋" w:cs="仿宋"/>
          <w:i w:val="0"/>
          <w:strike w:val="0"/>
          <w:color w:val="000000"/>
          <w:spacing w:val="0"/>
          <w:sz w:val="32"/>
          <w:u w:val="none"/>
        </w:rPr>
        <w:t>培养</w:t>
      </w:r>
      <w:r>
        <w:rPr>
          <w:rFonts w:hint="eastAsia" w:ascii="仿宋" w:hAnsi="仿宋" w:eastAsia="仿宋" w:cs="仿宋"/>
          <w:i w:val="0"/>
          <w:strike w:val="0"/>
          <w:color w:val="000000"/>
          <w:spacing w:val="0"/>
          <w:sz w:val="32"/>
          <w:u w:val="none"/>
          <w:lang w:eastAsia="zh-CN"/>
        </w:rPr>
        <w:t>－</w:t>
      </w:r>
      <w:r>
        <w:rPr>
          <w:rFonts w:ascii="仿宋" w:hAnsi="仿宋" w:eastAsia="仿宋" w:cs="仿宋"/>
          <w:i w:val="0"/>
          <w:strike w:val="0"/>
          <w:color w:val="000000"/>
          <w:spacing w:val="0"/>
          <w:sz w:val="32"/>
          <w:u w:val="none"/>
        </w:rPr>
        <w:t>就业”三位一体联动机制</w:t>
      </w:r>
    </w:p>
    <w:p w14:paraId="2051BF38">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校党委会在校长办公会研究基础上，负责学校专业设置、预警、退出的审定。学校教学指导委员会负责学校专业设置、预警、退出的咨询与审议工作。教务科负责学校专业设置、预警、退出的具体协调管理工作；招生就业办公室负责预警专业或退出专业招生计划的调整工作；各专业建设指导委员会负责对本专业建设、专业设置与调整进行评估、检查、指导工作。</w:t>
      </w:r>
    </w:p>
    <w:p w14:paraId="30A0F850">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（二） 增设新专业的基本条件</w:t>
      </w:r>
    </w:p>
    <w:p w14:paraId="37DD8643">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1.符合国家战略规划、行业发展和经济建设需要，有稳定的、足够数量的社会人才需求。</w:t>
      </w:r>
    </w:p>
    <w:p w14:paraId="74AFB882">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2.满足《中等职业学校专业教学标准》和《山东省中等职业学校教学指导方案》（以下简称《省标》）对本专业人才培养目标、培养规格、课程体系、教学规范、师资队伍、教学条件、质量保障、培养效果等方面的要求。</w:t>
      </w:r>
    </w:p>
    <w:p w14:paraId="0D8E2D95">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3.符合学校办学定位和专业发展规划。</w:t>
      </w:r>
    </w:p>
    <w:p w14:paraId="5D47BCF2">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4.有专业人才培养必需的专任教师。专业带头人具有副高级职称，且具有一定影响力。</w:t>
      </w:r>
    </w:p>
    <w:p w14:paraId="1AA5635A">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5.有良好的学科基础和办学条件，有科学规范的专业人才培养方案，具备申报新专业规定的基本条件和保障专业可持续发展的相关制度。</w:t>
      </w:r>
    </w:p>
    <w:p w14:paraId="19BAB75A">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6.优先考虑设置与区域性重点产业匹配的专业、学校布局规划建设的专业和依托学校优势学科办学的专业。</w:t>
      </w:r>
    </w:p>
    <w:p w14:paraId="32DC00FF">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7.教学部申请增设一个新专业，原则上应同时调整撤销一个旧专业。</w:t>
      </w:r>
    </w:p>
    <w:p w14:paraId="329C936B">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（三） 增设新专业的审批程序</w:t>
      </w:r>
    </w:p>
    <w:p w14:paraId="2F2665B5">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 xml:space="preserve">1.提出申请。申请设置新专业需提前一年进行预申报。教学部在综合考虑现有专业及拟设置专业情况，同时控制专业总量的前提下，向学校提出增设新专业申请，并提交以下书面申请材料。   </w:t>
      </w:r>
    </w:p>
    <w:p w14:paraId="7477B716">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仿宋" w:hAnsi="仿宋" w:eastAsia="仿宋" w:cs="仿宋"/>
          <w:i w:val="0"/>
          <w:strike w:val="0"/>
          <w:color w:val="000000"/>
          <w:spacing w:val="0"/>
          <w:sz w:val="32"/>
          <w:u w:val="none"/>
        </w:rPr>
        <w:t>（1）申请报告，说明设置专业的必要性、可行性（师资队伍、课程资源和硬件条件等）、专业培养目标、就业面向</w:t>
      </w:r>
      <w:r>
        <w:rPr>
          <w:rFonts w:hint="eastAsia" w:ascii="仿宋" w:hAnsi="仿宋" w:eastAsia="仿宋" w:cs="仿宋"/>
          <w:i w:val="0"/>
          <w:strike w:val="0"/>
          <w:color w:val="000000"/>
          <w:spacing w:val="0"/>
          <w:sz w:val="32"/>
          <w:u w:val="none"/>
          <w:lang w:eastAsia="zh-CN"/>
        </w:rPr>
        <w:t>和其他</w:t>
      </w:r>
      <w:r>
        <w:rPr>
          <w:rFonts w:ascii="仿宋" w:hAnsi="仿宋" w:eastAsia="仿宋" w:cs="仿宋"/>
          <w:i w:val="0"/>
          <w:strike w:val="0"/>
          <w:color w:val="000000"/>
          <w:spacing w:val="0"/>
          <w:sz w:val="32"/>
          <w:u w:val="none"/>
        </w:rPr>
        <w:t>情况。</w:t>
      </w:r>
    </w:p>
    <w:p w14:paraId="2007EC29">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（2）新增专业申请表，分别按照备案和审批专业要求据实详细填写。</w:t>
      </w:r>
    </w:p>
    <w:p w14:paraId="09466DBA">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（3）拟增设专业人才培养方案。</w:t>
      </w:r>
    </w:p>
    <w:p w14:paraId="256AE0EE">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（4）</w:t>
      </w:r>
      <w:r>
        <w:rPr>
          <w:rFonts w:hint="eastAsia" w:ascii="仿宋" w:hAnsi="仿宋" w:eastAsia="仿宋" w:cs="仿宋"/>
          <w:i w:val="0"/>
          <w:strike w:val="0"/>
          <w:color w:val="000000"/>
          <w:spacing w:val="0"/>
          <w:sz w:val="32"/>
          <w:u w:val="none"/>
          <w:lang w:eastAsia="zh-CN"/>
        </w:rPr>
        <w:t>其他</w:t>
      </w:r>
      <w:r>
        <w:rPr>
          <w:rFonts w:ascii="仿宋" w:hAnsi="仿宋" w:eastAsia="仿宋" w:cs="仿宋"/>
          <w:i w:val="0"/>
          <w:strike w:val="0"/>
          <w:color w:val="000000"/>
          <w:spacing w:val="0"/>
          <w:sz w:val="32"/>
          <w:u w:val="none"/>
        </w:rPr>
        <w:t>补充说明材料。</w:t>
      </w:r>
    </w:p>
    <w:p w14:paraId="18668D85">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2.研究审批。学校教学指导委员会对当年拟增设专业进行审议，经校长办公会研究，报校党委会审议通过后，上报临沂市教育局进行备案或审批。</w:t>
      </w:r>
    </w:p>
    <w:p w14:paraId="4DF694EC">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3.由多个教学单位联合申请增设新专业的，应确定一个主要负责单位，其他教学单位协同进行专业设置及建设工作。</w:t>
      </w:r>
    </w:p>
    <w:p w14:paraId="231FCC5B">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4. 调整专业的学生培养参照本办法增设新专业的基本条件（第四条）和审批程序（第五条）办理。采取老生老办法、新生新办法的原则进行培养。调整前的已在校学生按照原专业培养要求继续进行培养；调整后按照新的学位门类或修业年限进行招生、培养。</w:t>
      </w:r>
    </w:p>
    <w:p w14:paraId="3B492B4A">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黑体" w:hAnsi="黑体" w:eastAsia="黑体" w:cs="黑体"/>
          <w:i w:val="0"/>
          <w:strike w:val="0"/>
          <w:color w:val="000000"/>
          <w:spacing w:val="0"/>
          <w:sz w:val="32"/>
          <w:u w:val="none"/>
        </w:rPr>
        <w:t>三、专业建设</w:t>
      </w:r>
    </w:p>
    <w:p w14:paraId="23DB9C24">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仿宋" w:hAnsi="仿宋" w:eastAsia="仿宋" w:cs="仿宋"/>
          <w:i w:val="0"/>
          <w:strike w:val="0"/>
          <w:color w:val="000000"/>
          <w:spacing w:val="0"/>
          <w:sz w:val="32"/>
          <w:u w:val="none"/>
        </w:rPr>
        <w:t>1.专业建设原则</w:t>
      </w:r>
    </w:p>
    <w:p w14:paraId="2004599F">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仿宋" w:hAnsi="仿宋" w:eastAsia="仿宋" w:cs="仿宋"/>
          <w:i w:val="0"/>
          <w:strike w:val="0"/>
          <w:color w:val="000000"/>
          <w:spacing w:val="0"/>
          <w:sz w:val="32"/>
          <w:u w:val="none"/>
        </w:rPr>
        <w:t>（1）坚持需求导向。主动对接区域重点产业链，主动服务对接经济社会转型发展对</w:t>
      </w:r>
      <w:r>
        <w:rPr>
          <w:rFonts w:ascii="仿宋" w:hAnsi="仿宋" w:eastAsia="仿宋" w:cs="仿宋"/>
          <w:i w:val="0"/>
          <w:strike w:val="0"/>
          <w:color w:val="333333"/>
          <w:spacing w:val="0"/>
          <w:sz w:val="32"/>
          <w:u w:val="none"/>
        </w:rPr>
        <w:t>人才的实际需求，</w:t>
      </w:r>
      <w:r>
        <w:rPr>
          <w:rFonts w:ascii="仿宋" w:hAnsi="仿宋" w:eastAsia="仿宋" w:cs="仿宋"/>
          <w:i w:val="0"/>
          <w:strike w:val="0"/>
          <w:color w:val="000000"/>
          <w:spacing w:val="0"/>
          <w:sz w:val="32"/>
          <w:u w:val="none"/>
        </w:rPr>
        <w:t>促进专业设置与产业链、创新链、人才链深度融合、相互匹配、相互促进，提高人才培养和社会需求的契合度。</w:t>
      </w:r>
    </w:p>
    <w:p w14:paraId="20E706ED">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仿宋" w:hAnsi="仿宋" w:eastAsia="仿宋" w:cs="仿宋"/>
          <w:i w:val="0"/>
          <w:strike w:val="0"/>
          <w:color w:val="000000"/>
          <w:spacing w:val="0"/>
          <w:sz w:val="32"/>
          <w:u w:val="none"/>
        </w:rPr>
        <w:t>（2）强化优势特色。立足地域优势特色，构建与学校办学定位和办学特色相匹配的学科专业体系，统筹专业建设，</w:t>
      </w:r>
      <w:r>
        <w:rPr>
          <w:rFonts w:ascii="仿宋" w:hAnsi="仿宋" w:eastAsia="仿宋" w:cs="仿宋"/>
          <w:i w:val="0"/>
          <w:strike w:val="0"/>
          <w:color w:val="333333"/>
          <w:spacing w:val="0"/>
          <w:sz w:val="32"/>
          <w:u w:val="none"/>
        </w:rPr>
        <w:t>以新能源领域人才培养为主线</w:t>
      </w:r>
      <w:r>
        <w:rPr>
          <w:rFonts w:ascii="仿宋" w:hAnsi="仿宋" w:eastAsia="仿宋" w:cs="仿宋"/>
          <w:i w:val="0"/>
          <w:strike w:val="0"/>
          <w:color w:val="000000"/>
          <w:spacing w:val="0"/>
          <w:sz w:val="32"/>
          <w:u w:val="none"/>
        </w:rPr>
        <w:t>，</w:t>
      </w:r>
      <w:r>
        <w:rPr>
          <w:rFonts w:ascii="仿宋" w:hAnsi="仿宋" w:eastAsia="仿宋" w:cs="仿宋"/>
          <w:i w:val="0"/>
          <w:strike w:val="0"/>
          <w:color w:val="333333"/>
          <w:spacing w:val="0"/>
          <w:sz w:val="32"/>
          <w:u w:val="none"/>
        </w:rPr>
        <w:t>全面优化专业集群结构布局，</w:t>
      </w:r>
      <w:r>
        <w:rPr>
          <w:rFonts w:ascii="仿宋" w:hAnsi="仿宋" w:eastAsia="仿宋" w:cs="仿宋"/>
          <w:i w:val="0"/>
          <w:strike w:val="0"/>
          <w:color w:val="000000"/>
          <w:spacing w:val="0"/>
          <w:sz w:val="32"/>
          <w:u w:val="none"/>
        </w:rPr>
        <w:t>打造区域优势特色学科专业群。</w:t>
      </w:r>
    </w:p>
    <w:p w14:paraId="419585C3">
      <w:pPr>
        <w:keepNext w:val="0"/>
        <w:keepLines w:val="0"/>
        <w:pageBreakBefore w:val="0"/>
        <w:kinsoku/>
        <w:wordWrap/>
        <w:overflowPunct/>
        <w:topLinePunct w:val="0"/>
        <w:bidi w:val="0"/>
        <w:snapToGrid/>
        <w:spacing w:before="0" w:after="0" w:line="500" w:lineRule="exact"/>
        <w:ind w:left="0" w:right="0" w:firstLine="640" w:firstLineChars="200"/>
        <w:jc w:val="left"/>
      </w:pPr>
      <w:r>
        <w:rPr>
          <w:rFonts w:ascii="仿宋" w:hAnsi="仿宋" w:eastAsia="仿宋" w:cs="仿宋"/>
          <w:i w:val="0"/>
          <w:strike w:val="0"/>
          <w:color w:val="000000"/>
          <w:spacing w:val="0"/>
          <w:sz w:val="32"/>
          <w:u w:val="none"/>
          <w:shd w:val="clear" w:color="auto" w:fill="FFFFFF"/>
        </w:rPr>
        <w:t>（3）</w:t>
      </w:r>
      <w:r>
        <w:rPr>
          <w:rFonts w:ascii="仿宋" w:hAnsi="仿宋" w:eastAsia="仿宋" w:cs="仿宋"/>
          <w:i w:val="0"/>
          <w:strike w:val="0"/>
          <w:color w:val="333333"/>
          <w:spacing w:val="0"/>
          <w:sz w:val="32"/>
          <w:u w:val="none"/>
          <w:shd w:val="clear" w:color="auto" w:fill="FFFFFF"/>
        </w:rPr>
        <w:t>深化产教融合。坚持职业教育类型特征，深化产教融合、校企合作，引导行业企业深度参与专业设置及调整工作，</w:t>
      </w:r>
      <w:r>
        <w:rPr>
          <w:rFonts w:ascii="仿宋" w:hAnsi="仿宋" w:eastAsia="仿宋" w:cs="仿宋"/>
          <w:i w:val="0"/>
          <w:strike w:val="0"/>
          <w:color w:val="000000"/>
          <w:spacing w:val="0"/>
          <w:sz w:val="32"/>
          <w:u w:val="none"/>
          <w:shd w:val="clear" w:color="auto" w:fill="FFFFFF"/>
        </w:rPr>
        <w:t>促进学科专业与行业产业的深度融合，推进传统专业升级和数字化改造和新兴专业建设。</w:t>
      </w:r>
      <w:r>
        <w:rPr>
          <w:rFonts w:ascii="仿宋" w:hAnsi="仿宋" w:eastAsia="仿宋" w:cs="仿宋"/>
          <w:i w:val="0"/>
          <w:strike w:val="0"/>
          <w:color w:val="333333"/>
          <w:spacing w:val="0"/>
          <w:sz w:val="32"/>
          <w:u w:val="none"/>
          <w:shd w:val="clear" w:color="auto" w:fill="FFFFFF"/>
        </w:rPr>
        <w:t>形成以教促产、以产助教、产教融合、产学合作的职业教育与产业发展良性互动格局。</w:t>
      </w:r>
    </w:p>
    <w:p w14:paraId="756962C0">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仿宋" w:hAnsi="仿宋" w:eastAsia="仿宋" w:cs="仿宋"/>
          <w:i w:val="0"/>
          <w:strike w:val="0"/>
          <w:color w:val="000000"/>
          <w:spacing w:val="0"/>
          <w:sz w:val="32"/>
          <w:u w:val="none"/>
        </w:rPr>
        <w:t>（4）坚持动态调整。建立健全专业预警与退出机制，实现“招生</w:t>
      </w:r>
      <w:r>
        <w:rPr>
          <w:rFonts w:hint="eastAsia" w:ascii="仿宋" w:hAnsi="仿宋" w:eastAsia="仿宋" w:cs="仿宋"/>
          <w:i w:val="0"/>
          <w:strike w:val="0"/>
          <w:color w:val="000000"/>
          <w:spacing w:val="0"/>
          <w:sz w:val="32"/>
          <w:u w:val="none"/>
          <w:lang w:eastAsia="zh-CN"/>
        </w:rPr>
        <w:t>－</w:t>
      </w:r>
      <w:r>
        <w:rPr>
          <w:rFonts w:ascii="仿宋" w:hAnsi="仿宋" w:eastAsia="仿宋" w:cs="仿宋"/>
          <w:i w:val="0"/>
          <w:strike w:val="0"/>
          <w:color w:val="000000"/>
          <w:spacing w:val="0"/>
          <w:sz w:val="32"/>
          <w:u w:val="none"/>
        </w:rPr>
        <w:t>培养</w:t>
      </w:r>
      <w:r>
        <w:rPr>
          <w:rFonts w:hint="eastAsia" w:ascii="仿宋" w:hAnsi="仿宋" w:eastAsia="仿宋" w:cs="仿宋"/>
          <w:i w:val="0"/>
          <w:strike w:val="0"/>
          <w:color w:val="000000"/>
          <w:spacing w:val="0"/>
          <w:sz w:val="32"/>
          <w:u w:val="none"/>
          <w:lang w:eastAsia="zh-CN"/>
        </w:rPr>
        <w:t>－</w:t>
      </w:r>
      <w:r>
        <w:rPr>
          <w:rFonts w:ascii="仿宋" w:hAnsi="仿宋" w:eastAsia="仿宋" w:cs="仿宋"/>
          <w:i w:val="0"/>
          <w:strike w:val="0"/>
          <w:color w:val="000000"/>
          <w:spacing w:val="0"/>
          <w:sz w:val="32"/>
          <w:u w:val="none"/>
        </w:rPr>
        <w:t>就业”协同联动，对照《省标》，根据各专业人才市场需求、生源状况、毕业生就业质量</w:t>
      </w:r>
      <w:r>
        <w:rPr>
          <w:rFonts w:hint="eastAsia" w:ascii="仿宋" w:hAnsi="仿宋" w:eastAsia="仿宋" w:cs="仿宋"/>
          <w:i w:val="0"/>
          <w:strike w:val="0"/>
          <w:color w:val="000000"/>
          <w:spacing w:val="0"/>
          <w:sz w:val="32"/>
          <w:u w:val="none"/>
          <w:lang w:eastAsia="zh-CN"/>
        </w:rPr>
        <w:t>、</w:t>
      </w:r>
      <w:r>
        <w:rPr>
          <w:rFonts w:ascii="仿宋" w:hAnsi="仿宋" w:eastAsia="仿宋" w:cs="仿宋"/>
          <w:i w:val="0"/>
          <w:strike w:val="0"/>
          <w:color w:val="auto"/>
          <w:spacing w:val="0"/>
          <w:sz w:val="32"/>
          <w:u w:val="none"/>
        </w:rPr>
        <w:t>学生</w:t>
      </w:r>
      <w:r>
        <w:rPr>
          <w:rFonts w:ascii="仿宋" w:hAnsi="仿宋" w:eastAsia="仿宋" w:cs="仿宋"/>
          <w:i w:val="0"/>
          <w:strike w:val="0"/>
          <w:color w:val="000000"/>
          <w:spacing w:val="0"/>
          <w:sz w:val="32"/>
          <w:u w:val="none"/>
        </w:rPr>
        <w:t>与专任教师比、办学资源条件和专业评估等情况，</w:t>
      </w:r>
      <w:r>
        <w:rPr>
          <w:rFonts w:ascii="仿宋" w:hAnsi="仿宋" w:eastAsia="仿宋" w:cs="仿宋"/>
          <w:i w:val="0"/>
          <w:strike w:val="0"/>
          <w:color w:val="333333"/>
          <w:spacing w:val="0"/>
          <w:sz w:val="32"/>
          <w:u w:val="none"/>
          <w:shd w:val="clear" w:color="auto" w:fill="FFFFFF"/>
        </w:rPr>
        <w:t>完善有进有出、有增有减的专业动态调整机制，使专业发展规划与区域经济社会发展规划、学校事业</w:t>
      </w:r>
      <w:r>
        <w:rPr>
          <w:rFonts w:ascii="仿宋" w:hAnsi="仿宋" w:eastAsia="仿宋" w:cs="仿宋"/>
          <w:i w:val="0"/>
          <w:strike w:val="0"/>
          <w:color w:val="000000"/>
          <w:spacing w:val="0"/>
          <w:sz w:val="32"/>
          <w:u w:val="none"/>
        </w:rPr>
        <w:t>发展规划相协调。</w:t>
      </w:r>
    </w:p>
    <w:p w14:paraId="29533210">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仿宋" w:hAnsi="仿宋" w:eastAsia="仿宋" w:cs="仿宋"/>
          <w:i w:val="0"/>
          <w:strike w:val="0"/>
          <w:color w:val="000000"/>
          <w:spacing w:val="0"/>
          <w:sz w:val="32"/>
          <w:u w:val="none"/>
        </w:rPr>
        <w:t>2.专业建设内容</w:t>
      </w:r>
    </w:p>
    <w:p w14:paraId="6021D262">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仿宋" w:hAnsi="仿宋" w:eastAsia="仿宋" w:cs="仿宋"/>
          <w:i w:val="0"/>
          <w:strike w:val="0"/>
          <w:color w:val="000000"/>
          <w:spacing w:val="0"/>
          <w:sz w:val="32"/>
          <w:u w:val="none"/>
        </w:rPr>
        <w:t>（1）专业定位、培养目标应遵循教育发展规律和人才培养规律，围绕社会经济发展需求和学校、专业实际，科学合理确定建设内容，制定人才培养方案和建设规划。</w:t>
      </w:r>
    </w:p>
    <w:p w14:paraId="7E3DF2DB">
      <w:pPr>
        <w:keepNext w:val="0"/>
        <w:keepLines w:val="0"/>
        <w:pageBreakBefore w:val="0"/>
        <w:kinsoku/>
        <w:wordWrap/>
        <w:overflowPunct/>
        <w:topLinePunct w:val="0"/>
        <w:bidi w:val="0"/>
        <w:snapToGrid/>
        <w:spacing w:before="0" w:after="0" w:line="500" w:lineRule="exact"/>
        <w:ind w:left="0" w:right="0" w:firstLine="640" w:firstLineChars="200"/>
        <w:jc w:val="left"/>
      </w:pPr>
      <w:r>
        <w:rPr>
          <w:rFonts w:ascii="仿宋" w:hAnsi="仿宋" w:eastAsia="仿宋" w:cs="仿宋"/>
          <w:i w:val="0"/>
          <w:strike w:val="0"/>
          <w:color w:val="000000"/>
          <w:spacing w:val="0"/>
          <w:sz w:val="32"/>
          <w:u w:val="none"/>
          <w:shd w:val="clear" w:color="auto" w:fill="FFFFFF"/>
        </w:rPr>
        <w:t>（2）课程体系建设应立足人才培养目标，强化素质能力教育，突出思想性、科学性、时代性、前沿性、适用性、高阶性、创新性、</w:t>
      </w:r>
      <w:r>
        <w:rPr>
          <w:rFonts w:hint="eastAsia" w:ascii="仿宋" w:hAnsi="仿宋" w:eastAsia="仿宋" w:cs="仿宋"/>
          <w:i w:val="0"/>
          <w:strike w:val="0"/>
          <w:color w:val="000000"/>
          <w:spacing w:val="0"/>
          <w:sz w:val="32"/>
          <w:u w:val="none"/>
          <w:shd w:val="clear" w:color="auto" w:fill="FFFFFF"/>
          <w:lang w:eastAsia="zh-CN"/>
        </w:rPr>
        <w:t>挑战性</w:t>
      </w:r>
      <w:r>
        <w:rPr>
          <w:rFonts w:ascii="仿宋" w:hAnsi="仿宋" w:eastAsia="仿宋" w:cs="仿宋"/>
          <w:i w:val="0"/>
          <w:strike w:val="0"/>
          <w:color w:val="000000"/>
          <w:spacing w:val="0"/>
          <w:sz w:val="32"/>
          <w:u w:val="none"/>
          <w:shd w:val="clear" w:color="auto" w:fill="FFFFFF"/>
        </w:rPr>
        <w:t>。以</w:t>
      </w:r>
      <w:r>
        <w:rPr>
          <w:rFonts w:ascii="仿宋" w:hAnsi="仿宋" w:eastAsia="仿宋" w:cs="仿宋"/>
          <w:i w:val="0"/>
          <w:strike w:val="0"/>
          <w:color w:val="333333"/>
          <w:spacing w:val="0"/>
          <w:sz w:val="32"/>
          <w:u w:val="none"/>
          <w:shd w:val="clear" w:color="auto" w:fill="FFFFFF"/>
        </w:rPr>
        <w:t>精品课程建设为牵引，打造系统化、数字化课程体系。建设多介质、数字化、智能化、快速迭代的新形态教材。</w:t>
      </w:r>
    </w:p>
    <w:p w14:paraId="0408EC6F">
      <w:pPr>
        <w:keepNext w:val="0"/>
        <w:keepLines w:val="0"/>
        <w:pageBreakBefore w:val="0"/>
        <w:kinsoku/>
        <w:wordWrap/>
        <w:overflowPunct/>
        <w:topLinePunct w:val="0"/>
        <w:bidi w:val="0"/>
        <w:snapToGrid/>
        <w:spacing w:before="0" w:after="0" w:line="500" w:lineRule="exact"/>
        <w:ind w:left="0" w:right="0" w:firstLine="640" w:firstLineChars="200"/>
        <w:jc w:val="left"/>
      </w:pPr>
      <w:r>
        <w:rPr>
          <w:rFonts w:ascii="仿宋" w:hAnsi="仿宋" w:eastAsia="仿宋" w:cs="仿宋"/>
          <w:i w:val="0"/>
          <w:strike w:val="0"/>
          <w:color w:val="000000"/>
          <w:spacing w:val="0"/>
          <w:sz w:val="32"/>
          <w:u w:val="none"/>
          <w:shd w:val="clear" w:color="auto" w:fill="FFFFFF"/>
        </w:rPr>
        <w:t>（3）师资队伍的数量、结构、学科专业背景及水平、教师教学发展条件和师德师风等符合教育要求，教学理念先进、教学改革积极、教学实施规范，具备较高水平的教学能力。</w:t>
      </w:r>
      <w:r>
        <w:rPr>
          <w:rFonts w:ascii="仿宋" w:hAnsi="仿宋" w:eastAsia="仿宋" w:cs="仿宋"/>
          <w:i w:val="0"/>
          <w:strike w:val="0"/>
          <w:color w:val="333333"/>
          <w:spacing w:val="0"/>
          <w:sz w:val="32"/>
          <w:u w:val="none"/>
          <w:shd w:val="clear" w:color="auto" w:fill="FFFFFF"/>
        </w:rPr>
        <w:t>聘请企事业单位高技能人才、能工巧匠、技能大师等到学校兼职任教，培育专业（学科）骨干带头人、教学能手、教学名师和教学创新团队。</w:t>
      </w:r>
    </w:p>
    <w:p w14:paraId="3DCCD467">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仿宋" w:hAnsi="仿宋" w:eastAsia="仿宋" w:cs="仿宋"/>
          <w:i w:val="0"/>
          <w:strike w:val="0"/>
          <w:color w:val="000000"/>
          <w:spacing w:val="0"/>
          <w:sz w:val="32"/>
          <w:u w:val="none"/>
        </w:rPr>
        <w:t>（4）教学条件达标，基本信息资源、教学经费投入、教学设施，包括实验室、实验教学仪器设备、实践基地、图书资料资源、教材及参考书等满足学生个性化发展需求。</w:t>
      </w:r>
    </w:p>
    <w:p w14:paraId="4B30A88B">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仿宋" w:hAnsi="仿宋" w:eastAsia="仿宋" w:cs="仿宋"/>
          <w:i w:val="0"/>
          <w:strike w:val="0"/>
          <w:color w:val="000000"/>
          <w:spacing w:val="0"/>
          <w:sz w:val="32"/>
          <w:u w:val="none"/>
        </w:rPr>
        <w:t>（5）质量保障围绕人才培养的目标达成度、社会需求适应度、办学条件保障度、质量保障有效度、学生和用人单位满意度，构建自觉、自省、自律、自查、自纠的质量文化，有效运行教学过程质量监控、毕业生跟踪反馈、专业持续改进机制，提高人才培养质量。</w:t>
      </w:r>
    </w:p>
    <w:p w14:paraId="428B50A7">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仿宋" w:hAnsi="仿宋" w:eastAsia="仿宋" w:cs="仿宋"/>
          <w:i w:val="0"/>
          <w:strike w:val="0"/>
          <w:color w:val="000000"/>
          <w:spacing w:val="0"/>
          <w:sz w:val="32"/>
          <w:u w:val="none"/>
        </w:rPr>
        <w:t>3.专业认证。专业认证工作由教师发展部组织牵头、以认证专业所在教学部为主体，相关职能部门和教学部协调配合。教师发展部根据学校专业建设发展规划和专业实际情况制定学校专业认证工作计划，总体安排学校专业认证工作。教学部须根据学校总体安排做好专业认证准备工作。专业应以各类认证标准为指南，以自查、自评、自建为基础，以持续改进提升为主线，全面梳理专业人才培养中存在的问题，以评促建、以评促改、以评促强。</w:t>
      </w:r>
    </w:p>
    <w:p w14:paraId="0FC115EA">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黑体" w:hAnsi="黑体" w:eastAsia="黑体" w:cs="黑体"/>
          <w:i w:val="0"/>
          <w:strike w:val="0"/>
          <w:color w:val="000000"/>
          <w:spacing w:val="0"/>
          <w:sz w:val="32"/>
          <w:u w:val="none"/>
        </w:rPr>
        <w:t>四、专业评估与预警</w:t>
      </w:r>
    </w:p>
    <w:p w14:paraId="674941B0">
      <w:pPr>
        <w:keepNext w:val="0"/>
        <w:keepLines w:val="0"/>
        <w:pageBreakBefore w:val="0"/>
        <w:kinsoku/>
        <w:wordWrap/>
        <w:overflowPunct/>
        <w:topLinePunct w:val="0"/>
        <w:bidi w:val="0"/>
        <w:snapToGrid/>
        <w:spacing w:before="0" w:after="0" w:line="500" w:lineRule="exact"/>
        <w:ind w:left="0" w:right="0" w:firstLine="645"/>
        <w:jc w:val="left"/>
      </w:pPr>
      <w:r>
        <w:rPr>
          <w:rFonts w:ascii="仿宋" w:hAnsi="仿宋" w:eastAsia="仿宋" w:cs="仿宋"/>
          <w:i w:val="0"/>
          <w:strike w:val="0"/>
          <w:color w:val="000000"/>
          <w:spacing w:val="0"/>
          <w:sz w:val="32"/>
          <w:u w:val="none"/>
          <w:vertAlign w:val="baseline"/>
        </w:rPr>
        <w:t>（一）专业评估</w:t>
      </w:r>
    </w:p>
    <w:p w14:paraId="22C8A672">
      <w:pPr>
        <w:keepNext w:val="0"/>
        <w:keepLines w:val="0"/>
        <w:pageBreakBefore w:val="0"/>
        <w:kinsoku/>
        <w:wordWrap/>
        <w:overflowPunct/>
        <w:topLinePunct w:val="0"/>
        <w:bidi w:val="0"/>
        <w:snapToGrid/>
        <w:spacing w:before="0" w:after="0" w:line="500" w:lineRule="exact"/>
        <w:ind w:left="0" w:right="0" w:firstLine="645"/>
        <w:jc w:val="left"/>
      </w:pPr>
      <w:r>
        <w:rPr>
          <w:rFonts w:ascii="仿宋" w:hAnsi="仿宋" w:eastAsia="仿宋" w:cs="仿宋"/>
          <w:i w:val="0"/>
          <w:strike w:val="0"/>
          <w:color w:val="000000"/>
          <w:spacing w:val="0"/>
          <w:sz w:val="32"/>
          <w:u w:val="none"/>
          <w:vertAlign w:val="baseline"/>
        </w:rPr>
        <w:t>学校每年组织开展一次专业评估。其中，已经通过临沂市中等职业学校专业发展水平考核的专业，按照考核评估体系周期性参加认证评估。专业评估以《山东省中等职业学校专业发展水平考核指标》为依据，重点侧重于“专业发展潜力评估指标”。采取基础评估、增量评估与特色评估相结合的方式进行，评估主要内容包括：质量效益、产教融合、师资队伍、课程与教材、学生发展、质量保障、专业综合改革成效、国际合作、特色创新等。对通过评估的专业，在招生、办学条件等方面予以优先支持；对不具备办学条件、办学质量难以保证的专业，责令限期整改，直至停招撤销。</w:t>
      </w:r>
    </w:p>
    <w:p w14:paraId="31B222B1">
      <w:pPr>
        <w:keepNext w:val="0"/>
        <w:keepLines w:val="0"/>
        <w:pageBreakBefore w:val="0"/>
        <w:kinsoku/>
        <w:wordWrap/>
        <w:overflowPunct/>
        <w:topLinePunct w:val="0"/>
        <w:bidi w:val="0"/>
        <w:snapToGrid/>
        <w:spacing w:before="0" w:after="0" w:line="500" w:lineRule="exact"/>
        <w:ind w:left="645" w:leftChars="0" w:right="0" w:rightChars="0"/>
        <w:jc w:val="left"/>
      </w:pPr>
      <w:r>
        <w:rPr>
          <w:rFonts w:ascii="仿宋" w:hAnsi="仿宋" w:eastAsia="仿宋" w:cs="仿宋"/>
          <w:i w:val="0"/>
          <w:strike w:val="0"/>
          <w:color w:val="333333"/>
          <w:spacing w:val="0"/>
          <w:sz w:val="32"/>
          <w:u w:val="none"/>
          <w:vertAlign w:val="baseline"/>
        </w:rPr>
        <w:t>（二） </w:t>
      </w:r>
      <w:r>
        <w:rPr>
          <w:rFonts w:ascii="仿宋" w:hAnsi="仿宋" w:eastAsia="仿宋" w:cs="仿宋"/>
          <w:i w:val="0"/>
          <w:strike w:val="0"/>
          <w:color w:val="000000"/>
          <w:spacing w:val="0"/>
          <w:sz w:val="32"/>
          <w:u w:val="none"/>
          <w:vertAlign w:val="baseline"/>
        </w:rPr>
        <w:t>专业预警</w:t>
      </w:r>
    </w:p>
    <w:p w14:paraId="7FBEB05C">
      <w:pPr>
        <w:keepNext w:val="0"/>
        <w:keepLines w:val="0"/>
        <w:pageBreakBefore w:val="0"/>
        <w:kinsoku/>
        <w:wordWrap/>
        <w:overflowPunct/>
        <w:topLinePunct w:val="0"/>
        <w:bidi w:val="0"/>
        <w:snapToGrid/>
        <w:spacing w:before="0" w:after="0" w:line="500" w:lineRule="exact"/>
        <w:ind w:left="0" w:right="0" w:rightChars="0" w:firstLine="640" w:firstLineChars="200"/>
        <w:jc w:val="left"/>
      </w:pPr>
      <w:r>
        <w:rPr>
          <w:rFonts w:ascii="仿宋" w:hAnsi="仿宋" w:eastAsia="仿宋" w:cs="仿宋"/>
          <w:i w:val="0"/>
          <w:strike w:val="0"/>
          <w:color w:val="000000"/>
          <w:spacing w:val="0"/>
          <w:sz w:val="32"/>
          <w:u w:val="none"/>
          <w:vertAlign w:val="baseline"/>
        </w:rPr>
        <w:t>学校每年面向所有专业组织开展一次预警数据监测，并将监测评价结果作为专业调整的重要依据。出现以下任一种情况的专业将被列入专业预警名单。</w:t>
      </w:r>
    </w:p>
    <w:p w14:paraId="0FA2F59B">
      <w:pPr>
        <w:keepNext w:val="0"/>
        <w:keepLines w:val="0"/>
        <w:pageBreakBefore w:val="0"/>
        <w:kinsoku/>
        <w:wordWrap/>
        <w:overflowPunct/>
        <w:topLinePunct w:val="0"/>
        <w:bidi w:val="0"/>
        <w:snapToGrid/>
        <w:spacing w:before="0" w:after="0" w:line="500" w:lineRule="exact"/>
        <w:ind w:left="0" w:right="0" w:firstLine="645"/>
        <w:jc w:val="left"/>
      </w:pPr>
      <w:r>
        <w:rPr>
          <w:rFonts w:ascii="仿宋" w:hAnsi="仿宋" w:eastAsia="仿宋" w:cs="仿宋"/>
          <w:i w:val="0"/>
          <w:strike w:val="0"/>
          <w:color w:val="000000"/>
          <w:spacing w:val="0"/>
          <w:sz w:val="32"/>
          <w:u w:val="none"/>
          <w:vertAlign w:val="baseline"/>
        </w:rPr>
        <w:t>1.</w:t>
      </w:r>
      <w:r>
        <w:rPr>
          <w:rFonts w:ascii="仿宋" w:hAnsi="仿宋" w:eastAsia="仿宋" w:cs="仿宋"/>
          <w:i w:val="0"/>
          <w:strike w:val="0"/>
          <w:color w:val="000000"/>
          <w:spacing w:val="-15"/>
          <w:sz w:val="32"/>
          <w:u w:val="none"/>
          <w:vertAlign w:val="baseline"/>
        </w:rPr>
        <w:t>办学条件不足，教学资源相对缺乏的专业。本学生与专任教师比低于相应专业类《省标》或无副高级职称专任教师。</w:t>
      </w:r>
    </w:p>
    <w:p w14:paraId="0F1E0017">
      <w:pPr>
        <w:keepNext w:val="0"/>
        <w:keepLines w:val="0"/>
        <w:pageBreakBefore w:val="0"/>
        <w:kinsoku/>
        <w:wordWrap/>
        <w:overflowPunct/>
        <w:topLinePunct w:val="0"/>
        <w:bidi w:val="0"/>
        <w:snapToGrid/>
        <w:spacing w:before="0" w:after="0" w:line="500" w:lineRule="exact"/>
        <w:ind w:left="0" w:right="0" w:firstLine="645"/>
        <w:jc w:val="left"/>
      </w:pPr>
      <w:r>
        <w:rPr>
          <w:rFonts w:ascii="仿宋" w:hAnsi="仿宋" w:eastAsia="仿宋" w:cs="仿宋"/>
          <w:i w:val="0"/>
          <w:strike w:val="0"/>
          <w:color w:val="000000"/>
          <w:spacing w:val="0"/>
          <w:sz w:val="32"/>
          <w:u w:val="none"/>
          <w:vertAlign w:val="baseline"/>
        </w:rPr>
        <w:t>2.专业吸引力较弱，志愿录取率和招生计划完成率相对低的专业。</w:t>
      </w:r>
    </w:p>
    <w:p w14:paraId="085DB22D">
      <w:pPr>
        <w:keepNext w:val="0"/>
        <w:keepLines w:val="0"/>
        <w:pageBreakBefore w:val="0"/>
        <w:kinsoku/>
        <w:wordWrap/>
        <w:overflowPunct/>
        <w:topLinePunct w:val="0"/>
        <w:bidi w:val="0"/>
        <w:snapToGrid/>
        <w:spacing w:before="0" w:after="0" w:line="500" w:lineRule="exact"/>
        <w:ind w:left="0" w:right="0" w:firstLine="645"/>
        <w:jc w:val="left"/>
      </w:pPr>
      <w:r>
        <w:rPr>
          <w:rFonts w:ascii="仿宋" w:hAnsi="仿宋" w:eastAsia="仿宋" w:cs="仿宋"/>
          <w:i w:val="0"/>
          <w:strike w:val="0"/>
          <w:color w:val="000000"/>
          <w:spacing w:val="0"/>
          <w:sz w:val="32"/>
          <w:u w:val="none"/>
          <w:vertAlign w:val="baseline"/>
        </w:rPr>
        <w:t>3.缺乏相关学科支撑，优势特色不鲜明的专业。内涵发展成效不显著，培养方案与学校相关专业培养方案重合度高，同质化严重。</w:t>
      </w:r>
    </w:p>
    <w:p w14:paraId="32446C89">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333333"/>
          <w:spacing w:val="0"/>
          <w:sz w:val="32"/>
          <w:u w:val="none"/>
        </w:rPr>
        <w:t>4.对国家战略及区域经济社会发展需求适应性较差，毕业去向落实率低于教育部限定比例的专业。</w:t>
      </w:r>
    </w:p>
    <w:p w14:paraId="437EBCC7">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5.在上级主管部门开展的专业评估中发现严重问题的专业。</w:t>
      </w:r>
    </w:p>
    <w:p w14:paraId="167A94B8">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黑体" w:hAnsi="黑体" w:eastAsia="黑体" w:cs="黑体"/>
          <w:i w:val="0"/>
          <w:strike w:val="0"/>
          <w:color w:val="000000"/>
          <w:spacing w:val="0"/>
          <w:sz w:val="32"/>
          <w:u w:val="none"/>
        </w:rPr>
        <w:t>五、专业调整与优化</w:t>
      </w:r>
    </w:p>
    <w:p w14:paraId="4342A2B9">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仿宋" w:hAnsi="仿宋" w:eastAsia="仿宋" w:cs="仿宋"/>
          <w:i w:val="0"/>
          <w:strike w:val="0"/>
          <w:color w:val="000000"/>
          <w:spacing w:val="0"/>
          <w:sz w:val="32"/>
          <w:u w:val="none"/>
        </w:rPr>
        <w:t>（一）调整专业招生</w:t>
      </w:r>
    </w:p>
    <w:p w14:paraId="1B642074">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仿宋" w:hAnsi="仿宋" w:eastAsia="仿宋" w:cs="仿宋"/>
          <w:i w:val="0"/>
          <w:strike w:val="0"/>
          <w:color w:val="000000"/>
          <w:spacing w:val="0"/>
          <w:sz w:val="32"/>
          <w:u w:val="none"/>
        </w:rPr>
        <w:t>根据以下情况，对现设专业进行调整（含增拨招生人数、减少招生人数）。</w:t>
      </w:r>
    </w:p>
    <w:p w14:paraId="5665A01A">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仿宋" w:hAnsi="仿宋" w:eastAsia="仿宋" w:cs="仿宋"/>
          <w:i w:val="0"/>
          <w:strike w:val="0"/>
          <w:color w:val="000000"/>
          <w:spacing w:val="0"/>
          <w:sz w:val="32"/>
          <w:u w:val="none"/>
        </w:rPr>
        <w:t>1.学校学科专业总体布局及特色发展需要。</w:t>
      </w:r>
    </w:p>
    <w:p w14:paraId="27DC7F99">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仿宋" w:hAnsi="仿宋" w:eastAsia="仿宋" w:cs="仿宋"/>
          <w:i w:val="0"/>
          <w:strike w:val="0"/>
          <w:color w:val="000000"/>
          <w:spacing w:val="0"/>
          <w:sz w:val="32"/>
          <w:u w:val="none"/>
        </w:rPr>
        <w:t>2.服务面向领域及社会人才需求情况。</w:t>
      </w:r>
    </w:p>
    <w:p w14:paraId="5EEFE103">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仿宋" w:hAnsi="仿宋" w:eastAsia="仿宋" w:cs="仿宋"/>
          <w:i w:val="0"/>
          <w:strike w:val="0"/>
          <w:color w:val="000000"/>
          <w:spacing w:val="0"/>
          <w:sz w:val="32"/>
          <w:u w:val="none"/>
        </w:rPr>
        <w:t>3.专业评估结果。</w:t>
      </w:r>
    </w:p>
    <w:p w14:paraId="70DA9733">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仿宋" w:hAnsi="仿宋" w:eastAsia="仿宋" w:cs="仿宋"/>
          <w:i w:val="0"/>
          <w:strike w:val="0"/>
          <w:color w:val="000000"/>
          <w:spacing w:val="0"/>
          <w:sz w:val="32"/>
          <w:u w:val="none"/>
        </w:rPr>
        <w:t>4.近年来专业预警结果及整改情况。</w:t>
      </w:r>
    </w:p>
    <w:p w14:paraId="07CB7CA4">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仿宋" w:hAnsi="仿宋" w:eastAsia="仿宋" w:cs="仿宋"/>
          <w:i w:val="0"/>
          <w:strike w:val="0"/>
          <w:color w:val="000000"/>
          <w:spacing w:val="0"/>
          <w:sz w:val="32"/>
          <w:u w:val="none"/>
        </w:rPr>
        <w:t>5.教学资源与专业数量情况。</w:t>
      </w:r>
    </w:p>
    <w:p w14:paraId="1CEC1C1E">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仿宋" w:hAnsi="仿宋" w:eastAsia="仿宋" w:cs="仿宋"/>
          <w:i w:val="0"/>
          <w:strike w:val="0"/>
          <w:color w:val="000000"/>
          <w:spacing w:val="0"/>
          <w:sz w:val="32"/>
          <w:u w:val="none"/>
        </w:rPr>
        <w:t>（二）暂停专业招生</w:t>
      </w:r>
    </w:p>
    <w:p w14:paraId="267268FC">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仿宋" w:hAnsi="仿宋" w:eastAsia="仿宋" w:cs="仿宋"/>
          <w:i w:val="0"/>
          <w:strike w:val="0"/>
          <w:color w:val="000000"/>
          <w:spacing w:val="0"/>
          <w:sz w:val="32"/>
          <w:u w:val="none"/>
        </w:rPr>
        <w:t>出现以下情况之一的专业（非新增专业），原则上暂停招生。</w:t>
      </w:r>
    </w:p>
    <w:p w14:paraId="6FB19679">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仿宋" w:hAnsi="仿宋" w:eastAsia="仿宋" w:cs="仿宋"/>
          <w:i w:val="0"/>
          <w:strike w:val="0"/>
          <w:color w:val="000000"/>
          <w:spacing w:val="0"/>
          <w:sz w:val="32"/>
          <w:u w:val="none"/>
        </w:rPr>
        <w:t>1.根据学校发展和学科专业建设规划，需要暂停招生。</w:t>
      </w:r>
    </w:p>
    <w:p w14:paraId="4230BB0C">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仿宋" w:hAnsi="仿宋" w:eastAsia="仿宋" w:cs="仿宋"/>
          <w:i w:val="0"/>
          <w:strike w:val="0"/>
          <w:color w:val="000000"/>
          <w:spacing w:val="0"/>
          <w:sz w:val="32"/>
          <w:u w:val="none"/>
        </w:rPr>
        <w:t>2.社会人才需求不强。</w:t>
      </w:r>
    </w:p>
    <w:p w14:paraId="4A6BFC0C">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仿宋" w:hAnsi="仿宋" w:eastAsia="仿宋" w:cs="仿宋"/>
          <w:i w:val="0"/>
          <w:strike w:val="0"/>
          <w:color w:val="000000"/>
          <w:spacing w:val="0"/>
          <w:sz w:val="32"/>
          <w:u w:val="none"/>
        </w:rPr>
        <w:t>3.校内专业评估不合格。</w:t>
      </w:r>
    </w:p>
    <w:p w14:paraId="70A664F6">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仿宋" w:hAnsi="仿宋" w:eastAsia="仿宋" w:cs="仿宋"/>
          <w:i w:val="0"/>
          <w:strike w:val="0"/>
          <w:color w:val="000000"/>
          <w:spacing w:val="0"/>
          <w:sz w:val="32"/>
          <w:u w:val="none"/>
        </w:rPr>
        <w:t>4.近三年两次被列入专业预警名单。</w:t>
      </w:r>
    </w:p>
    <w:p w14:paraId="0CAC86D9">
      <w:pPr>
        <w:keepNext w:val="0"/>
        <w:keepLines w:val="0"/>
        <w:pageBreakBefore w:val="0"/>
        <w:kinsoku/>
        <w:wordWrap/>
        <w:overflowPunct/>
        <w:topLinePunct w:val="0"/>
        <w:bidi w:val="0"/>
        <w:snapToGrid/>
        <w:spacing w:before="0" w:after="0" w:line="500" w:lineRule="exact"/>
        <w:ind w:left="0" w:right="0" w:firstLine="640" w:firstLineChars="200"/>
        <w:jc w:val="both"/>
      </w:pPr>
      <w:r>
        <w:rPr>
          <w:rFonts w:ascii="仿宋" w:hAnsi="仿宋" w:eastAsia="仿宋" w:cs="仿宋"/>
          <w:i w:val="0"/>
          <w:strike w:val="0"/>
          <w:color w:val="000000"/>
          <w:spacing w:val="0"/>
          <w:sz w:val="32"/>
          <w:u w:val="none"/>
        </w:rPr>
        <w:t>5.本教学部开设专业数量超过3个，教学资源不足。</w:t>
      </w:r>
    </w:p>
    <w:p w14:paraId="5C4E3EF2">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6.主动申请停止招生。</w:t>
      </w:r>
    </w:p>
    <w:p w14:paraId="565AA876">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7.其他按照国家规定应当停止招生。</w:t>
      </w:r>
    </w:p>
    <w:p w14:paraId="681DC78A">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（三） 恢复招生</w:t>
      </w:r>
    </w:p>
    <w:p w14:paraId="261BA332">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根据专业建设及人才培养实际需要，已暂停招生专业恢复招生，须按照新设置专业提交申请，经学校论证审议通过后方可恢复招生。</w:t>
      </w:r>
    </w:p>
    <w:p w14:paraId="743B6C70">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（四） 撤销专业</w:t>
      </w:r>
    </w:p>
    <w:p w14:paraId="06F295CF">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出现以下情况之一的专业，学校相关部门提出撤销建议。撤销专业建议经学校教学指导委员会审议、校长办公会议研究、校党委会审批通过后报教育部备案。</w:t>
      </w:r>
    </w:p>
    <w:p w14:paraId="0D7E2E66">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1.专业暂停招生连续超过五年。</w:t>
      </w:r>
    </w:p>
    <w:p w14:paraId="452403A8">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2.专业暂停招生，限期整改后仍不达标。</w:t>
      </w:r>
    </w:p>
    <w:p w14:paraId="4B583505">
      <w:pPr>
        <w:keepNext w:val="0"/>
        <w:keepLines w:val="0"/>
        <w:pageBreakBefore w:val="0"/>
        <w:kinsoku/>
        <w:wordWrap/>
        <w:overflowPunct/>
        <w:topLinePunct w:val="0"/>
        <w:bidi w:val="0"/>
        <w:snapToGrid/>
        <w:spacing w:before="0" w:after="0" w:line="500" w:lineRule="exact"/>
        <w:ind w:left="0" w:right="0" w:firstLine="645"/>
        <w:jc w:val="both"/>
      </w:pPr>
      <w:r>
        <w:rPr>
          <w:rFonts w:ascii="仿宋" w:hAnsi="仿宋" w:eastAsia="仿宋" w:cs="仿宋"/>
          <w:i w:val="0"/>
          <w:strike w:val="0"/>
          <w:color w:val="000000"/>
          <w:spacing w:val="0"/>
          <w:sz w:val="32"/>
          <w:u w:val="none"/>
        </w:rPr>
        <w:t>3.根据学校发展和学科专业建设规划，需要撤销的专业。</w:t>
      </w:r>
    </w:p>
    <w:p w14:paraId="234A2988">
      <w:pPr>
        <w:keepNext w:val="0"/>
        <w:keepLines w:val="0"/>
        <w:pageBreakBefore w:val="0"/>
        <w:kinsoku/>
        <w:wordWrap/>
        <w:overflowPunct/>
        <w:topLinePunct w:val="0"/>
        <w:bidi w:val="0"/>
        <w:snapToGrid/>
        <w:spacing w:before="0" w:after="0" w:line="500" w:lineRule="exact"/>
        <w:ind w:left="0" w:right="0" w:firstLine="0"/>
        <w:jc w:val="both"/>
      </w:pPr>
      <w:r>
        <w:rPr>
          <w:rFonts w:ascii="黑体" w:hAnsi="黑体" w:eastAsia="黑体" w:cs="黑体"/>
          <w:i w:val="0"/>
          <w:strike w:val="0"/>
          <w:color w:val="000000"/>
          <w:spacing w:val="0"/>
          <w:sz w:val="32"/>
          <w:u w:val="none"/>
        </w:rPr>
        <w:t>六、附则</w:t>
      </w:r>
    </w:p>
    <w:p w14:paraId="07DCE5C4">
      <w:pPr>
        <w:keepNext w:val="0"/>
        <w:keepLines w:val="0"/>
        <w:pageBreakBefore w:val="0"/>
        <w:kinsoku/>
        <w:wordWrap/>
        <w:overflowPunct/>
        <w:topLinePunct w:val="0"/>
        <w:bidi w:val="0"/>
        <w:snapToGrid/>
        <w:spacing w:before="0" w:after="0" w:line="500" w:lineRule="exact"/>
        <w:ind w:left="645" w:leftChars="0" w:right="0" w:rightChars="0"/>
        <w:jc w:val="both"/>
      </w:pPr>
      <w:r>
        <w:rPr>
          <w:rFonts w:ascii="仿宋" w:hAnsi="仿宋" w:eastAsia="仿宋" w:cs="仿宋"/>
          <w:i w:val="0"/>
          <w:strike w:val="0"/>
          <w:color w:val="000000"/>
          <w:spacing w:val="0"/>
          <w:sz w:val="32"/>
          <w:u w:val="none"/>
        </w:rPr>
        <w:t>（一）本办法由教务科负责解释。</w:t>
      </w:r>
    </w:p>
    <w:p w14:paraId="217A92CD">
      <w:pPr>
        <w:keepNext w:val="0"/>
        <w:keepLines w:val="0"/>
        <w:pageBreakBefore w:val="0"/>
        <w:kinsoku/>
        <w:wordWrap/>
        <w:overflowPunct/>
        <w:topLinePunct w:val="0"/>
        <w:bidi w:val="0"/>
        <w:snapToGrid/>
        <w:spacing w:before="0" w:after="0" w:line="500" w:lineRule="exact"/>
        <w:ind w:left="645" w:leftChars="0" w:right="0" w:rightChars="0"/>
        <w:jc w:val="both"/>
      </w:pPr>
      <w:r>
        <w:rPr>
          <w:rFonts w:ascii="仿宋" w:hAnsi="仿宋" w:eastAsia="仿宋" w:cs="仿宋"/>
          <w:i w:val="0"/>
          <w:strike w:val="0"/>
          <w:color w:val="000000"/>
          <w:spacing w:val="0"/>
          <w:sz w:val="32"/>
          <w:u w:val="none"/>
        </w:rPr>
        <w:t>（二）本办法自公布之日起施行。</w:t>
      </w:r>
    </w:p>
    <w:p w14:paraId="249B71EA">
      <w:pPr>
        <w:keepNext w:val="0"/>
        <w:keepLines w:val="0"/>
        <w:pageBreakBefore w:val="0"/>
        <w:kinsoku/>
        <w:wordWrap/>
        <w:overflowPunct/>
        <w:topLinePunct w:val="0"/>
        <w:bidi w:val="0"/>
        <w:snapToGrid/>
        <w:spacing w:before="0" w:after="0" w:line="500" w:lineRule="exact"/>
        <w:ind w:left="0" w:right="0"/>
        <w:jc w:val="both"/>
        <w:rPr>
          <w:rFonts w:hint="eastAsia" w:ascii="方正仿宋_GB2312" w:hAnsi="方正仿宋_GB2312" w:eastAsia="方正仿宋_GB2312" w:cs="方正仿宋_GB2312"/>
          <w:sz w:val="32"/>
          <w:szCs w:val="32"/>
        </w:rPr>
      </w:pPr>
      <w:r>
        <w:rPr>
          <w:rFonts w:ascii="仿宋" w:hAnsi="仿宋" w:eastAsia="仿宋" w:cs="仿宋"/>
          <w:i w:val="0"/>
          <w:strike w:val="0"/>
          <w:color w:val="000000"/>
          <w:sz w:val="32"/>
          <w:u w:val="none"/>
        </w:rPr>
        <w:t> </w:t>
      </w:r>
    </w:p>
    <w:p w14:paraId="28B1E6AD">
      <w:pPr>
        <w:pStyle w:val="5"/>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Theme="majorEastAsia" w:hAnsiTheme="majorEastAsia" w:eastAsiaTheme="majorEastAsia" w:cstheme="majorEastAsia"/>
          <w:b/>
          <w:bCs/>
          <w:color w:val="000000" w:themeColor="text1"/>
          <w:kern w:val="2"/>
          <w:sz w:val="44"/>
          <w:szCs w:val="44"/>
          <w:lang w:val="en-US" w:eastAsia="zh-CN" w:bidi="ar-SA"/>
          <w14:textFill>
            <w14:solidFill>
              <w14:schemeClr w14:val="tx1"/>
            </w14:solidFill>
          </w14:textFill>
        </w:rPr>
      </w:pPr>
      <w:r>
        <w:rPr>
          <w:rFonts w:hint="eastAsia" w:asciiTheme="majorEastAsia" w:hAnsiTheme="majorEastAsia" w:eastAsiaTheme="majorEastAsia" w:cstheme="majorEastAsia"/>
          <w:b/>
          <w:bCs/>
          <w:color w:val="000000" w:themeColor="text1"/>
          <w:kern w:val="2"/>
          <w:sz w:val="44"/>
          <w:szCs w:val="44"/>
          <w:lang w:val="en-US" w:eastAsia="zh-CN" w:bidi="ar-SA"/>
          <w14:textFill>
            <w14:solidFill>
              <w14:schemeClr w14:val="tx1"/>
            </w14:solidFill>
          </w14:textFill>
        </w:rPr>
        <w:t>人才培养方案制订（修订）实施办法</w:t>
      </w:r>
    </w:p>
    <w:p w14:paraId="3E38DB45">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专业人才培养方案是职业院校落实党和国家关于技术技能人才培养总体要求，组织开展教学活动、安排教学任务的规范性文件，是实施专业人才培养和开展质量评价的基本依据。为落实《国家职业教育改革实施方案》，推进国家教学标准落地实施，提升职业教育质量，根据《教育部关于职业院校专业人才培养方案制订与实施工作的指导意见》教职成（〔2019〕13号）和山东省教育厅《关于优化职业教育专业设置的指导意见》（鲁教职发〔2023〕1号），为确保专业人才培养方案的权威性、严肃性、科学性、合理性，加强对专业人才培养方案的管理，进一步规范我校的教学管理工作，特制定本办法。</w:t>
      </w:r>
    </w:p>
    <w:p w14:paraId="6FE4B165">
      <w:pPr>
        <w:pStyle w:val="5"/>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ascii="黑体" w:hAnsi="黑体" w:eastAsia="黑体" w:cs="黑体"/>
          <w:color w:val="333333"/>
          <w:sz w:val="32"/>
          <w:szCs w:val="32"/>
        </w:rPr>
      </w:pPr>
      <w:r>
        <w:rPr>
          <w:rStyle w:val="8"/>
          <w:rFonts w:hint="eastAsia" w:ascii="黑体" w:hAnsi="黑体" w:eastAsia="黑体" w:cs="黑体"/>
          <w:bCs/>
          <w:color w:val="000000"/>
          <w:kern w:val="2"/>
          <w:sz w:val="32"/>
          <w:szCs w:val="32"/>
          <w:shd w:val="clear" w:color="auto" w:fill="FFFFFF"/>
          <w:lang w:bidi="ar-SA"/>
        </w:rPr>
        <w:t>一、指导思想</w:t>
      </w:r>
    </w:p>
    <w:p w14:paraId="06D9A6D7">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以习近平新时代中国特色社会主义思想为指导，深入贯彻党的十九大、二十大精神，按照全国教育大会部署，落实立德树人根本任务，坚持面向市场、服务发展、促进就业的办学方向，健全德技并修、工学结合育人机制，构建德智体美劳全面发展的人才培养体系，突出卫生职业教育的类型特点，深化产教融合、校企合作，推进教师、教材、教法改革，规范人才培养全过程，加快培养复合型技术技能人才。</w:t>
      </w:r>
    </w:p>
    <w:p w14:paraId="4725FEC9">
      <w:pPr>
        <w:pStyle w:val="5"/>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黑体" w:hAnsi="黑体" w:eastAsia="黑体" w:cs="黑体"/>
          <w:bCs/>
          <w:color w:val="000000"/>
          <w:sz w:val="32"/>
          <w:szCs w:val="32"/>
          <w:shd w:val="clear" w:color="auto" w:fill="FFFFFF"/>
        </w:rPr>
      </w:pPr>
      <w:r>
        <w:rPr>
          <w:rStyle w:val="8"/>
          <w:rFonts w:hint="eastAsia" w:ascii="黑体" w:hAnsi="黑体" w:eastAsia="黑体" w:cs="黑体"/>
          <w:bCs/>
          <w:color w:val="000000"/>
          <w:kern w:val="2"/>
          <w:sz w:val="32"/>
          <w:szCs w:val="32"/>
          <w:shd w:val="clear" w:color="auto" w:fill="FFFFFF"/>
          <w:lang w:bidi="ar-SA"/>
        </w:rPr>
        <w:t>二、基本原则和要求</w:t>
      </w:r>
    </w:p>
    <w:p w14:paraId="2261801E">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（一）基本原则</w:t>
      </w:r>
    </w:p>
    <w:p w14:paraId="6EFCCC42">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人才培养方案要符合教育改革总体思路，拓宽专业，加强基础，加强素质教育和能力培养；要符合学校战略发展定位，遵循理论与实践相结合原则，遵循教育规律、因材施教和整体优化原则。</w:t>
      </w:r>
    </w:p>
    <w:p w14:paraId="563672EF">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坚持需求导向。坚持面向产业，主动对接国家及区域重大战略和现代经济体系建设要求，优先设置和建好建强重大战略急需专业。坚持面向人人，完善职业教育专业布局，满足不同禀赋学生多样化选择、多样化成才的需要。</w:t>
      </w:r>
    </w:p>
    <w:p w14:paraId="6B2ACF23">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科学规划定位。主动适应经济社会发展、知识创新、科技进步、产业升级需要，推动专业升级和数字化改造，使专业发展规划与区域经济社会发展规划、学校事业发展规划相协调。</w:t>
      </w:r>
    </w:p>
    <w:p w14:paraId="3AB11EED">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深化产教融合。坚持职业教育类型特征，深化产教融合、校企合作，引导医药卫生行业企业深度参与专业设置及调整工作，形成以教促产、以产助教、产教融合、产学合作的职业教育与产业发展良性互动格局。</w:t>
      </w:r>
    </w:p>
    <w:p w14:paraId="58003A9D">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突出特色发展。立足自身优势和发展定位，找准发展的切入点和着力点，聚焦服务面向，保持战略定力，做大做强优势专业，实现错位发展、差异化发展，防止“同质化”，形成百花齐放、群峰竞秀的局面。</w:t>
      </w:r>
    </w:p>
    <w:p w14:paraId="3D7014A0">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（二）基本要求</w:t>
      </w:r>
    </w:p>
    <w:p w14:paraId="29E6E69D">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人才培养方案实行学校和教学部两级管理模式。教务科负责制定人才培养方案制订（修订）的原则、指导性意见及有关规定，组织和协调人才培养方案制订（修订）</w:t>
      </w:r>
      <w:r>
        <w:rPr>
          <w:rFonts w:hint="eastAsia" w:ascii="方正仿宋_GB2312" w:hAnsi="方正仿宋_GB2312" w:eastAsia="方正仿宋_GB2312" w:cs="方正仿宋_GB2312"/>
          <w:sz w:val="32"/>
          <w:szCs w:val="32"/>
          <w:shd w:val="clear" w:color="auto" w:fill="auto"/>
          <w:lang w:val="en-US" w:eastAsia="zh-CN"/>
        </w:rPr>
        <w:t>工作</w:t>
      </w:r>
      <w:r>
        <w:rPr>
          <w:rFonts w:hint="eastAsia" w:ascii="方正仿宋_GB2312" w:hAnsi="方正仿宋_GB2312" w:eastAsia="方正仿宋_GB2312" w:cs="方正仿宋_GB2312"/>
          <w:sz w:val="32"/>
          <w:szCs w:val="32"/>
        </w:rPr>
        <w:t>。各教学部根据教务科要求具体负责制订（修订）人才培养方案。</w:t>
      </w:r>
    </w:p>
    <w:p w14:paraId="438FFF7A">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专业人才培养方案应当体现专业教学标准规定的要素和人才培养的主要环节要求，包括专业名称及代码、入学要求、修业年限、职业面向、培养目标与培养规格、课程设置、学时安排、教学进程总体安排、实施保障、毕业要求等内容，并附教学进程安排表等。具体内容根据每次制订（修订）人才培养方案的指导性意见进行规范。</w:t>
      </w:r>
    </w:p>
    <w:p w14:paraId="03A277E7">
      <w:pPr>
        <w:keepNext w:val="0"/>
        <w:keepLines w:val="0"/>
        <w:pageBreakBefore w:val="0"/>
        <w:kinsoku/>
        <w:wordWrap/>
        <w:overflowPunct/>
        <w:topLinePunct w:val="0"/>
        <w:bidi w:val="0"/>
        <w:adjustRightInd w:val="0"/>
        <w:spacing w:line="500" w:lineRule="exact"/>
        <w:ind w:firstLine="643" w:firstLineChars="200"/>
        <w:rPr>
          <w:rFonts w:ascii="黑体" w:hAnsi="黑体" w:eastAsia="黑体" w:cs="黑体"/>
          <w:color w:val="333333"/>
          <w:sz w:val="32"/>
          <w:szCs w:val="32"/>
        </w:rPr>
      </w:pPr>
      <w:r>
        <w:rPr>
          <w:rStyle w:val="8"/>
          <w:rFonts w:hint="eastAsia" w:ascii="黑体" w:hAnsi="黑体" w:eastAsia="黑体" w:cs="黑体"/>
          <w:bCs/>
          <w:color w:val="000000"/>
          <w:sz w:val="32"/>
          <w:szCs w:val="32"/>
          <w:shd w:val="clear" w:color="auto" w:fill="FFFFFF"/>
        </w:rPr>
        <w:t>三、人才培养方案制订（修订）的程序</w:t>
      </w:r>
    </w:p>
    <w:p w14:paraId="31A036F6">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1.人才培养方案的制订（修订），在学校党委的领导下，分管教学副校长具体负责，由教务科组织实施。</w:t>
      </w:r>
    </w:p>
    <w:p w14:paraId="3F287BB4">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在充分调研、广泛征集意见的基础上，根据教育教学改革趋势，企业行业对人才知识、能力和素质的要求以及学校的培养目标，制定人才培养方案的指导性意见。</w:t>
      </w:r>
    </w:p>
    <w:p w14:paraId="5EA2F2B7">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2.各教学部根据学校指导性意见，广泛调研企业行业对人才的要求，形成专业岗位能力分析报告。</w:t>
      </w:r>
    </w:p>
    <w:p w14:paraId="43CCAF01">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充分调研国内同类院校相同、相近专业的培养方案，组织召开专业建设指导委员会研讨会，集体研讨、论证专业培养目标和能力要求，听取各方面意见，形成论证意见报告，由专业部负责科学制订（修订）人才培养方案。</w:t>
      </w:r>
    </w:p>
    <w:p w14:paraId="2F50D173">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4.教务科牵头组织教学指导委员会对各专业人才培养方案进行审议。</w:t>
      </w:r>
    </w:p>
    <w:p w14:paraId="20A84124">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5.教学指导委员会审议通过，呈报学校党委会审议。</w:t>
      </w:r>
    </w:p>
    <w:p w14:paraId="3D75503C">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6.各教学部必须严格落实专业培养目标、课程设置标准、实训教学条件标准、学时设置（含总学时、理论、实践学时等）、公共基础课开设等。</w:t>
      </w:r>
    </w:p>
    <w:p w14:paraId="5EFD8755">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jc w:val="center"/>
        <w:textAlignment w:val="auto"/>
        <w:rPr>
          <w:rFonts w:ascii="仿宋" w:hAnsi="仿宋" w:eastAsia="仿宋" w:cs="仿宋"/>
          <w:b/>
          <w:bCs/>
          <w:sz w:val="32"/>
          <w:szCs w:val="32"/>
          <w:shd w:val="clear" w:color="auto" w:fill="FFFFFF"/>
          <w:lang w:bidi="ar"/>
        </w:rPr>
      </w:pPr>
      <w:r>
        <w:rPr>
          <w:rFonts w:hint="eastAsia" w:ascii="仿宋" w:hAnsi="仿宋" w:eastAsia="仿宋" w:cs="仿宋"/>
          <w:b/>
          <w:bCs/>
          <w:sz w:val="32"/>
          <w:szCs w:val="32"/>
          <w:shd w:val="clear" w:color="auto" w:fill="FFFFFF"/>
          <w:lang w:val="en-US" w:eastAsia="zh-CN" w:bidi="ar"/>
        </w:rPr>
        <w:t>表：</w:t>
      </w:r>
      <w:r>
        <w:rPr>
          <w:rFonts w:hint="eastAsia" w:ascii="仿宋" w:hAnsi="仿宋" w:eastAsia="仿宋" w:cs="仿宋"/>
          <w:b/>
          <w:bCs/>
          <w:sz w:val="32"/>
          <w:szCs w:val="32"/>
          <w:shd w:val="clear" w:color="auto" w:fill="FFFFFF"/>
          <w:lang w:bidi="ar"/>
        </w:rPr>
        <w:t>人才培养方案制订（修订）程序</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26"/>
        <w:gridCol w:w="1215"/>
        <w:gridCol w:w="5637"/>
        <w:gridCol w:w="1993"/>
      </w:tblGrid>
      <w:tr w14:paraId="78423E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23" w:hRule="atLeast"/>
          <w:jc w:val="center"/>
        </w:trPr>
        <w:tc>
          <w:tcPr>
            <w:tcW w:w="626"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tcMar>
              <w:top w:w="0" w:type="dxa"/>
              <w:left w:w="108" w:type="dxa"/>
              <w:bottom w:w="0" w:type="dxa"/>
              <w:right w:w="108" w:type="dxa"/>
            </w:tcMar>
            <w:vAlign w:val="center"/>
          </w:tcPr>
          <w:p w14:paraId="5C06E3C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Times New Roman" w:eastAsia="仿宋_GB2312" w:cs="仿宋_GB2312"/>
                <w:bCs/>
                <w:kern w:val="0"/>
                <w:sz w:val="32"/>
                <w:szCs w:val="32"/>
                <w:lang w:bidi="ar"/>
              </w:rPr>
            </w:pPr>
            <w:r>
              <w:rPr>
                <w:rStyle w:val="8"/>
                <w:rFonts w:hint="eastAsia" w:ascii="仿宋_GB2312" w:hAnsi="Times New Roman" w:eastAsia="仿宋_GB2312" w:cs="仿宋_GB2312"/>
                <w:bCs/>
                <w:kern w:val="0"/>
                <w:sz w:val="32"/>
                <w:szCs w:val="32"/>
                <w:lang w:bidi="ar"/>
              </w:rPr>
              <w:t>序号</w:t>
            </w:r>
          </w:p>
        </w:tc>
        <w:tc>
          <w:tcPr>
            <w:tcW w:w="1215"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tcMar>
              <w:top w:w="0" w:type="dxa"/>
              <w:left w:w="108" w:type="dxa"/>
              <w:bottom w:w="0" w:type="dxa"/>
              <w:right w:w="108" w:type="dxa"/>
            </w:tcMar>
            <w:vAlign w:val="center"/>
          </w:tcPr>
          <w:p w14:paraId="50BBAE4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Times New Roman" w:eastAsia="仿宋_GB2312" w:cs="仿宋_GB2312"/>
                <w:bCs/>
                <w:kern w:val="0"/>
                <w:sz w:val="32"/>
                <w:szCs w:val="32"/>
                <w:lang w:bidi="ar"/>
              </w:rPr>
            </w:pPr>
            <w:r>
              <w:rPr>
                <w:rStyle w:val="8"/>
                <w:rFonts w:hint="eastAsia" w:ascii="仿宋_GB2312" w:hAnsi="Times New Roman" w:eastAsia="仿宋_GB2312" w:cs="仿宋_GB2312"/>
                <w:bCs/>
                <w:kern w:val="0"/>
                <w:sz w:val="32"/>
                <w:szCs w:val="32"/>
                <w:lang w:bidi="ar"/>
              </w:rPr>
              <w:t>完成</w:t>
            </w:r>
          </w:p>
          <w:p w14:paraId="4B9D184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cs="Times New Roman"/>
                <w:sz w:val="32"/>
                <w:szCs w:val="32"/>
              </w:rPr>
            </w:pPr>
            <w:r>
              <w:rPr>
                <w:rStyle w:val="8"/>
                <w:rFonts w:hint="eastAsia" w:ascii="仿宋_GB2312" w:hAnsi="Times New Roman" w:eastAsia="仿宋_GB2312" w:cs="仿宋_GB2312"/>
                <w:bCs/>
                <w:kern w:val="0"/>
                <w:sz w:val="32"/>
                <w:szCs w:val="32"/>
                <w:lang w:bidi="ar"/>
              </w:rPr>
              <w:t>时间</w:t>
            </w:r>
          </w:p>
        </w:tc>
        <w:tc>
          <w:tcPr>
            <w:tcW w:w="5637"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tcMar>
              <w:top w:w="0" w:type="dxa"/>
              <w:left w:w="108" w:type="dxa"/>
              <w:bottom w:w="0" w:type="dxa"/>
              <w:right w:w="108" w:type="dxa"/>
            </w:tcMar>
            <w:vAlign w:val="center"/>
          </w:tcPr>
          <w:p w14:paraId="6EA0A49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cs="Times New Roman"/>
                <w:sz w:val="32"/>
                <w:szCs w:val="32"/>
              </w:rPr>
            </w:pPr>
            <w:r>
              <w:rPr>
                <w:rStyle w:val="8"/>
                <w:rFonts w:hint="eastAsia" w:ascii="仿宋_GB2312" w:hAnsi="Times New Roman" w:eastAsia="仿宋_GB2312" w:cs="仿宋_GB2312"/>
                <w:bCs/>
                <w:kern w:val="0"/>
                <w:sz w:val="32"/>
                <w:szCs w:val="32"/>
                <w:lang w:bidi="ar"/>
              </w:rPr>
              <w:t>人才培养方案制订（修订）程序</w:t>
            </w:r>
          </w:p>
        </w:tc>
        <w:tc>
          <w:tcPr>
            <w:tcW w:w="1993"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tcMar>
              <w:top w:w="0" w:type="dxa"/>
              <w:left w:w="108" w:type="dxa"/>
              <w:bottom w:w="0" w:type="dxa"/>
              <w:right w:w="108" w:type="dxa"/>
            </w:tcMar>
            <w:vAlign w:val="center"/>
          </w:tcPr>
          <w:p w14:paraId="777A3D3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cs="Times New Roman"/>
                <w:sz w:val="32"/>
                <w:szCs w:val="32"/>
              </w:rPr>
            </w:pPr>
            <w:r>
              <w:rPr>
                <w:rStyle w:val="8"/>
                <w:rFonts w:hint="eastAsia" w:ascii="仿宋_GB2312" w:hAnsi="Times New Roman" w:eastAsia="仿宋_GB2312" w:cs="仿宋_GB2312"/>
                <w:bCs/>
                <w:kern w:val="0"/>
                <w:sz w:val="32"/>
                <w:szCs w:val="32"/>
                <w:lang w:bidi="ar"/>
              </w:rPr>
              <w:t>牵头责任部门</w:t>
            </w:r>
          </w:p>
        </w:tc>
      </w:tr>
      <w:tr w14:paraId="5AC13C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2" w:hRule="atLeast"/>
          <w:jc w:val="center"/>
        </w:trPr>
        <w:tc>
          <w:tcPr>
            <w:tcW w:w="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E1628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kern w:val="0"/>
                <w:sz w:val="24"/>
                <w:lang w:bidi="ar"/>
              </w:rPr>
            </w:pPr>
            <w:r>
              <w:rPr>
                <w:rFonts w:hint="eastAsia" w:ascii="宋体" w:hAnsi="宋体" w:eastAsia="宋体" w:cs="宋体"/>
                <w:kern w:val="0"/>
                <w:sz w:val="24"/>
                <w:lang w:bidi="ar"/>
              </w:rPr>
              <w:t>1</w:t>
            </w:r>
          </w:p>
        </w:tc>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C9240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Times New Roman" w:eastAsia="仿宋_GB2312" w:cs="仿宋_GB2312"/>
                <w:kern w:val="0"/>
                <w:sz w:val="24"/>
                <w:lang w:bidi="ar"/>
              </w:rPr>
            </w:pPr>
            <w:r>
              <w:rPr>
                <w:rFonts w:hint="eastAsia" w:ascii="仿宋_GB2312" w:hAnsi="Times New Roman" w:eastAsia="仿宋_GB2312" w:cs="仿宋_GB2312"/>
                <w:kern w:val="0"/>
                <w:sz w:val="24"/>
                <w:lang w:bidi="ar"/>
              </w:rPr>
              <w:t>3月中旬</w:t>
            </w:r>
          </w:p>
        </w:tc>
        <w:tc>
          <w:tcPr>
            <w:tcW w:w="56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5931B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Times New Roman" w:hAnsi="Times New Roman" w:cs="Times New Roman"/>
                <w:sz w:val="32"/>
                <w:szCs w:val="32"/>
              </w:rPr>
            </w:pPr>
            <w:r>
              <w:rPr>
                <w:rFonts w:hint="eastAsia" w:ascii="仿宋_GB2312" w:hAnsi="Times New Roman" w:eastAsia="仿宋_GB2312" w:cs="仿宋_GB2312"/>
                <w:kern w:val="0"/>
                <w:sz w:val="24"/>
                <w:lang w:bidi="ar"/>
              </w:rPr>
              <w:t>专业人才培养方案制订指导意见</w:t>
            </w:r>
          </w:p>
        </w:tc>
        <w:tc>
          <w:tcPr>
            <w:tcW w:w="19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8B116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cs="Times New Roman"/>
                <w:sz w:val="32"/>
                <w:szCs w:val="32"/>
              </w:rPr>
            </w:pPr>
            <w:r>
              <w:rPr>
                <w:rFonts w:hint="eastAsia" w:ascii="仿宋_GB2312" w:hAnsi="Times New Roman" w:eastAsia="仿宋_GB2312" w:cs="仿宋_GB2312"/>
                <w:kern w:val="0"/>
                <w:sz w:val="24"/>
                <w:lang w:bidi="ar"/>
              </w:rPr>
              <w:t>教务科</w:t>
            </w:r>
          </w:p>
        </w:tc>
      </w:tr>
      <w:tr w14:paraId="3A010E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1" w:hRule="atLeast"/>
          <w:jc w:val="center"/>
        </w:trPr>
        <w:tc>
          <w:tcPr>
            <w:tcW w:w="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12370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kern w:val="0"/>
                <w:sz w:val="24"/>
                <w:lang w:bidi="ar"/>
              </w:rPr>
            </w:pPr>
            <w:r>
              <w:rPr>
                <w:rFonts w:hint="eastAsia" w:ascii="宋体" w:hAnsi="宋体" w:eastAsia="宋体" w:cs="宋体"/>
                <w:kern w:val="0"/>
                <w:sz w:val="24"/>
                <w:lang w:bidi="ar"/>
              </w:rPr>
              <w:t>2</w:t>
            </w:r>
          </w:p>
        </w:tc>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06E6D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Times New Roman" w:eastAsia="仿宋_GB2312" w:cs="仿宋_GB2312"/>
                <w:kern w:val="0"/>
                <w:sz w:val="24"/>
                <w:lang w:bidi="ar"/>
              </w:rPr>
            </w:pPr>
            <w:r>
              <w:rPr>
                <w:rFonts w:hint="eastAsia" w:ascii="仿宋_GB2312" w:hAnsi="Times New Roman" w:eastAsia="仿宋_GB2312" w:cs="仿宋_GB2312"/>
                <w:kern w:val="0"/>
                <w:sz w:val="24"/>
                <w:lang w:bidi="ar"/>
              </w:rPr>
              <w:t>4月上旬</w:t>
            </w:r>
          </w:p>
        </w:tc>
        <w:tc>
          <w:tcPr>
            <w:tcW w:w="56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A9C79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Times New Roman" w:hAnsi="Times New Roman" w:cs="Times New Roman"/>
                <w:sz w:val="32"/>
                <w:szCs w:val="32"/>
              </w:rPr>
            </w:pPr>
            <w:r>
              <w:rPr>
                <w:rFonts w:hint="eastAsia" w:ascii="仿宋_GB2312" w:hAnsi="Times New Roman" w:eastAsia="仿宋_GB2312" w:cs="仿宋_GB2312"/>
                <w:kern w:val="0"/>
                <w:sz w:val="24"/>
                <w:lang w:bidi="ar"/>
              </w:rPr>
              <w:t>专业人才培养方案调研报告</w:t>
            </w:r>
          </w:p>
        </w:tc>
        <w:tc>
          <w:tcPr>
            <w:tcW w:w="19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6B43E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cs="Times New Roman"/>
                <w:sz w:val="32"/>
                <w:szCs w:val="32"/>
              </w:rPr>
            </w:pPr>
            <w:r>
              <w:rPr>
                <w:rFonts w:hint="eastAsia" w:ascii="仿宋_GB2312" w:hAnsi="Times New Roman" w:eastAsia="仿宋_GB2312" w:cs="仿宋_GB2312"/>
                <w:kern w:val="0"/>
                <w:sz w:val="24"/>
                <w:lang w:bidi="ar"/>
              </w:rPr>
              <w:t>各专业部</w:t>
            </w:r>
          </w:p>
        </w:tc>
      </w:tr>
      <w:tr w14:paraId="1A293B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1" w:hRule="atLeast"/>
          <w:jc w:val="center"/>
        </w:trPr>
        <w:tc>
          <w:tcPr>
            <w:tcW w:w="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19235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kern w:val="0"/>
                <w:sz w:val="24"/>
                <w:lang w:bidi="ar"/>
              </w:rPr>
            </w:pPr>
            <w:r>
              <w:rPr>
                <w:rFonts w:hint="eastAsia" w:ascii="宋体" w:hAnsi="宋体" w:eastAsia="宋体" w:cs="宋体"/>
                <w:kern w:val="0"/>
                <w:sz w:val="24"/>
                <w:lang w:bidi="ar"/>
              </w:rPr>
              <w:t>3</w:t>
            </w:r>
          </w:p>
        </w:tc>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46397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Times New Roman" w:eastAsia="仿宋_GB2312" w:cs="仿宋_GB2312"/>
                <w:kern w:val="0"/>
                <w:sz w:val="24"/>
                <w:lang w:bidi="ar"/>
              </w:rPr>
            </w:pPr>
            <w:r>
              <w:rPr>
                <w:rFonts w:hint="eastAsia" w:ascii="仿宋_GB2312" w:hAnsi="Times New Roman" w:eastAsia="仿宋_GB2312" w:cs="仿宋_GB2312"/>
                <w:kern w:val="0"/>
                <w:sz w:val="24"/>
                <w:lang w:bidi="ar"/>
              </w:rPr>
              <w:t>5月下旬</w:t>
            </w:r>
          </w:p>
        </w:tc>
        <w:tc>
          <w:tcPr>
            <w:tcW w:w="56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6AA23D">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Times New Roman" w:hAnsi="Times New Roman" w:cs="Times New Roman"/>
                <w:sz w:val="32"/>
                <w:szCs w:val="32"/>
              </w:rPr>
            </w:pPr>
            <w:r>
              <w:rPr>
                <w:rFonts w:hint="eastAsia" w:ascii="仿宋_GB2312" w:hAnsi="Times New Roman" w:eastAsia="仿宋_GB2312" w:cs="仿宋_GB2312"/>
                <w:kern w:val="0"/>
                <w:sz w:val="24"/>
                <w:lang w:bidi="ar"/>
              </w:rPr>
              <w:t>专业人才培养方案论证意见（报告）</w:t>
            </w:r>
          </w:p>
        </w:tc>
        <w:tc>
          <w:tcPr>
            <w:tcW w:w="19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79654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cs="Times New Roman"/>
                <w:sz w:val="32"/>
                <w:szCs w:val="32"/>
              </w:rPr>
            </w:pPr>
            <w:r>
              <w:rPr>
                <w:rFonts w:hint="eastAsia" w:ascii="仿宋_GB2312" w:hAnsi="Times New Roman" w:eastAsia="仿宋_GB2312" w:cs="仿宋_GB2312"/>
                <w:kern w:val="0"/>
                <w:sz w:val="24"/>
                <w:lang w:bidi="ar"/>
              </w:rPr>
              <w:t>各专业部</w:t>
            </w:r>
          </w:p>
        </w:tc>
      </w:tr>
      <w:tr w14:paraId="4FF505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1" w:hRule="atLeast"/>
          <w:jc w:val="center"/>
        </w:trPr>
        <w:tc>
          <w:tcPr>
            <w:tcW w:w="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4EDFA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kern w:val="0"/>
                <w:sz w:val="24"/>
                <w:lang w:bidi="ar"/>
              </w:rPr>
            </w:pPr>
            <w:r>
              <w:rPr>
                <w:rFonts w:hint="eastAsia" w:ascii="宋体" w:hAnsi="宋体" w:eastAsia="宋体" w:cs="宋体"/>
                <w:kern w:val="0"/>
                <w:sz w:val="24"/>
                <w:lang w:bidi="ar"/>
              </w:rPr>
              <w:t>4</w:t>
            </w:r>
          </w:p>
        </w:tc>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97261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Times New Roman" w:eastAsia="仿宋_GB2312" w:cs="仿宋_GB2312"/>
                <w:kern w:val="0"/>
                <w:sz w:val="24"/>
                <w:lang w:bidi="ar"/>
              </w:rPr>
            </w:pPr>
            <w:r>
              <w:rPr>
                <w:rFonts w:hint="eastAsia" w:ascii="仿宋_GB2312" w:hAnsi="Times New Roman" w:eastAsia="仿宋_GB2312" w:cs="仿宋_GB2312"/>
                <w:kern w:val="0"/>
                <w:sz w:val="24"/>
                <w:lang w:bidi="ar"/>
              </w:rPr>
              <w:t>6月上旬</w:t>
            </w:r>
          </w:p>
        </w:tc>
        <w:tc>
          <w:tcPr>
            <w:tcW w:w="56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469EE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Times New Roman" w:hAnsi="Times New Roman" w:cs="Times New Roman"/>
                <w:sz w:val="32"/>
                <w:szCs w:val="32"/>
              </w:rPr>
            </w:pPr>
            <w:r>
              <w:rPr>
                <w:rFonts w:hint="eastAsia" w:ascii="仿宋_GB2312" w:hAnsi="Times New Roman" w:eastAsia="仿宋_GB2312" w:cs="仿宋_GB2312"/>
                <w:kern w:val="0"/>
                <w:sz w:val="24"/>
                <w:lang w:bidi="ar"/>
              </w:rPr>
              <w:t>专业人才培养方案提请校教学指导委员会审议报告</w:t>
            </w:r>
          </w:p>
        </w:tc>
        <w:tc>
          <w:tcPr>
            <w:tcW w:w="19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CB968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cs="Times New Roman"/>
                <w:sz w:val="32"/>
                <w:szCs w:val="32"/>
              </w:rPr>
            </w:pPr>
            <w:r>
              <w:rPr>
                <w:rFonts w:hint="eastAsia" w:ascii="仿宋_GB2312" w:hAnsi="Times New Roman" w:eastAsia="仿宋_GB2312" w:cs="仿宋_GB2312"/>
                <w:kern w:val="0"/>
                <w:sz w:val="24"/>
                <w:lang w:bidi="ar"/>
              </w:rPr>
              <w:t>教务科</w:t>
            </w:r>
          </w:p>
        </w:tc>
      </w:tr>
      <w:tr w14:paraId="6B74BC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1" w:hRule="atLeast"/>
          <w:jc w:val="center"/>
        </w:trPr>
        <w:tc>
          <w:tcPr>
            <w:tcW w:w="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BCB1A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Times New Roman" w:eastAsia="仿宋_GB2312" w:cs="仿宋_GB2312"/>
                <w:kern w:val="0"/>
                <w:sz w:val="24"/>
                <w:lang w:bidi="ar"/>
              </w:rPr>
            </w:pPr>
            <w:r>
              <w:rPr>
                <w:rFonts w:hint="eastAsia" w:ascii="仿宋_GB2312" w:hAnsi="Times New Roman" w:eastAsia="仿宋_GB2312" w:cs="仿宋_GB2312"/>
                <w:kern w:val="0"/>
                <w:sz w:val="24"/>
                <w:lang w:bidi="ar"/>
              </w:rPr>
              <w:t>5</w:t>
            </w:r>
          </w:p>
        </w:tc>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67102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Times New Roman" w:eastAsia="仿宋_GB2312" w:cs="仿宋_GB2312"/>
                <w:kern w:val="0"/>
                <w:sz w:val="24"/>
                <w:shd w:val="clear" w:color="auto" w:fill="auto"/>
                <w:lang w:bidi="ar"/>
              </w:rPr>
            </w:pPr>
            <w:r>
              <w:rPr>
                <w:rFonts w:hint="eastAsia" w:ascii="仿宋_GB2312" w:hAnsi="Times New Roman" w:eastAsia="仿宋_GB2312" w:cs="仿宋_GB2312"/>
                <w:kern w:val="0"/>
                <w:sz w:val="24"/>
                <w:lang w:bidi="ar"/>
              </w:rPr>
              <w:t>6月</w:t>
            </w:r>
            <w:r>
              <w:rPr>
                <w:rFonts w:hint="eastAsia" w:ascii="仿宋_GB2312" w:hAnsi="Times New Roman" w:eastAsia="仿宋_GB2312" w:cs="仿宋_GB2312"/>
                <w:kern w:val="0"/>
                <w:sz w:val="24"/>
                <w:shd w:val="clear" w:color="auto" w:fill="auto"/>
                <w:lang w:bidi="ar"/>
              </w:rPr>
              <w:t> 中</w:t>
            </w:r>
            <w:r>
              <w:rPr>
                <w:rFonts w:hint="eastAsia" w:ascii="仿宋_GB2312" w:hAnsi="Times New Roman" w:eastAsia="仿宋_GB2312" w:cs="仿宋_GB2312"/>
                <w:kern w:val="0"/>
                <w:sz w:val="24"/>
                <w:shd w:val="clear" w:color="auto" w:fill="auto"/>
                <w:lang w:val="en-US" w:eastAsia="zh-CN" w:bidi="ar"/>
              </w:rPr>
              <w:t>下</w:t>
            </w:r>
            <w:r>
              <w:rPr>
                <w:rFonts w:hint="eastAsia" w:ascii="仿宋_GB2312" w:hAnsi="Times New Roman" w:eastAsia="仿宋_GB2312" w:cs="仿宋_GB2312"/>
                <w:kern w:val="0"/>
                <w:sz w:val="24"/>
                <w:shd w:val="clear" w:color="auto" w:fill="auto"/>
                <w:lang w:bidi="ar"/>
              </w:rPr>
              <w:t>旬</w:t>
            </w:r>
          </w:p>
        </w:tc>
        <w:tc>
          <w:tcPr>
            <w:tcW w:w="56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618592">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Times New Roman" w:hAnsi="Times New Roman" w:cs="Times New Roman"/>
                <w:sz w:val="32"/>
                <w:szCs w:val="32"/>
              </w:rPr>
            </w:pPr>
            <w:r>
              <w:rPr>
                <w:rFonts w:hint="eastAsia" w:ascii="仿宋_GB2312" w:hAnsi="Times New Roman" w:eastAsia="仿宋_GB2312" w:cs="仿宋_GB2312"/>
                <w:kern w:val="0"/>
                <w:sz w:val="24"/>
                <w:lang w:bidi="ar"/>
              </w:rPr>
              <w:t>学校党委会审议报告</w:t>
            </w:r>
          </w:p>
        </w:tc>
        <w:tc>
          <w:tcPr>
            <w:tcW w:w="19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CB8E3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cs="Times New Roman"/>
                <w:sz w:val="32"/>
                <w:szCs w:val="32"/>
              </w:rPr>
            </w:pPr>
            <w:r>
              <w:rPr>
                <w:rFonts w:hint="eastAsia" w:ascii="仿宋_GB2312" w:hAnsi="Times New Roman" w:eastAsia="仿宋_GB2312" w:cs="仿宋_GB2312"/>
                <w:kern w:val="0"/>
                <w:sz w:val="24"/>
                <w:lang w:bidi="ar"/>
              </w:rPr>
              <w:t>教务科</w:t>
            </w:r>
          </w:p>
        </w:tc>
      </w:tr>
      <w:tr w14:paraId="12CB89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95" w:hRule="atLeast"/>
          <w:jc w:val="center"/>
        </w:trPr>
        <w:tc>
          <w:tcPr>
            <w:tcW w:w="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27267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kern w:val="0"/>
                <w:sz w:val="24"/>
                <w:lang w:bidi="ar"/>
              </w:rPr>
            </w:pPr>
            <w:r>
              <w:rPr>
                <w:rFonts w:hint="eastAsia" w:ascii="宋体" w:hAnsi="宋体" w:cs="宋体"/>
                <w:kern w:val="0"/>
                <w:sz w:val="24"/>
                <w:lang w:bidi="ar"/>
              </w:rPr>
              <w:t>6</w:t>
            </w:r>
          </w:p>
        </w:tc>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4A7A1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Times New Roman" w:eastAsia="仿宋_GB2312" w:cs="仿宋_GB2312"/>
                <w:kern w:val="0"/>
                <w:sz w:val="24"/>
                <w:lang w:bidi="ar"/>
              </w:rPr>
            </w:pPr>
          </w:p>
        </w:tc>
        <w:tc>
          <w:tcPr>
            <w:tcW w:w="56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BB1FF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Times New Roman" w:hAnsi="Times New Roman" w:cs="Times New Roman"/>
                <w:sz w:val="32"/>
                <w:szCs w:val="32"/>
              </w:rPr>
            </w:pPr>
            <w:r>
              <w:rPr>
                <w:rFonts w:hint="eastAsia" w:ascii="仿宋_GB2312" w:hAnsi="Times New Roman" w:eastAsia="仿宋_GB2312" w:cs="仿宋_GB2312"/>
                <w:kern w:val="0"/>
                <w:sz w:val="24"/>
                <w:lang w:bidi="ar"/>
              </w:rPr>
              <w:t>严格落实专业培养目标、课程设置标准、实训教学条件标准、学时设置（含总学时、理论、实践学时等）、公共基础课开设。</w:t>
            </w:r>
          </w:p>
        </w:tc>
        <w:tc>
          <w:tcPr>
            <w:tcW w:w="19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56C18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cs="Times New Roman"/>
                <w:sz w:val="32"/>
                <w:szCs w:val="32"/>
              </w:rPr>
            </w:pPr>
            <w:r>
              <w:rPr>
                <w:rFonts w:hint="eastAsia" w:ascii="仿宋_GB2312" w:hAnsi="Times New Roman" w:eastAsia="仿宋_GB2312" w:cs="仿宋_GB2312"/>
                <w:kern w:val="0"/>
                <w:sz w:val="24"/>
                <w:lang w:bidi="ar"/>
              </w:rPr>
              <w:t>各教学部</w:t>
            </w:r>
          </w:p>
        </w:tc>
      </w:tr>
    </w:tbl>
    <w:p w14:paraId="68A00928">
      <w:pPr>
        <w:pStyle w:val="5"/>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黑体" w:hAnsi="黑体" w:eastAsia="黑体" w:cs="黑体"/>
          <w:bCs/>
          <w:color w:val="000000"/>
          <w:sz w:val="32"/>
          <w:szCs w:val="32"/>
          <w:shd w:val="clear" w:color="auto" w:fill="FFFFFF"/>
        </w:rPr>
      </w:pPr>
      <w:r>
        <w:rPr>
          <w:rStyle w:val="8"/>
          <w:rFonts w:hint="eastAsia" w:ascii="黑体" w:hAnsi="黑体" w:eastAsia="黑体" w:cs="黑体"/>
          <w:bCs/>
          <w:color w:val="000000"/>
          <w:kern w:val="2"/>
          <w:sz w:val="32"/>
          <w:szCs w:val="32"/>
          <w:shd w:val="clear" w:color="auto" w:fill="FFFFFF"/>
          <w:lang w:bidi="ar-SA"/>
        </w:rPr>
        <w:t>四、发布</w:t>
      </w:r>
    </w:p>
    <w:p w14:paraId="0BF03EB4">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auto"/>
          <w:lang w:val="en-US" w:eastAsia="zh-CN"/>
        </w:rPr>
        <w:t>学校党委会</w:t>
      </w:r>
      <w:r>
        <w:rPr>
          <w:rFonts w:hint="eastAsia" w:ascii="方正仿宋_GB2312" w:hAnsi="方正仿宋_GB2312" w:eastAsia="方正仿宋_GB2312" w:cs="方正仿宋_GB2312"/>
          <w:sz w:val="32"/>
          <w:szCs w:val="32"/>
        </w:rPr>
        <w:t>审定通过的专业人才培养方案，学校按程序发布执行，报上级教育行政部门备案，接受全社会监督。为了保证人才培养方案实施的连续性、稳定性和严肃性，对已经批准并正在执行的人才培养方案，未经同意不得擅自改动。</w:t>
      </w:r>
    </w:p>
    <w:p w14:paraId="074E03A4">
      <w:pPr>
        <w:keepNext w:val="0"/>
        <w:keepLines w:val="0"/>
        <w:pageBreakBefore w:val="0"/>
        <w:kinsoku/>
        <w:wordWrap/>
        <w:overflowPunct/>
        <w:topLinePunct w:val="0"/>
        <w:bidi w:val="0"/>
        <w:adjustRightInd w:val="0"/>
        <w:spacing w:line="5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对随意变动、更改人才培养方案，未履行相应变更手续而擅自更改教学安排的，按教学事故处理。</w:t>
      </w:r>
    </w:p>
    <w:p w14:paraId="3447DC67">
      <w:pPr>
        <w:pStyle w:val="5"/>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黑体" w:hAnsi="黑体" w:eastAsia="黑体" w:cs="黑体"/>
          <w:bCs/>
          <w:color w:val="000000"/>
          <w:sz w:val="32"/>
          <w:szCs w:val="32"/>
          <w:shd w:val="clear" w:color="auto" w:fill="FFFFFF"/>
        </w:rPr>
      </w:pPr>
      <w:r>
        <w:rPr>
          <w:rStyle w:val="8"/>
          <w:rFonts w:hint="eastAsia" w:ascii="黑体" w:hAnsi="黑体" w:eastAsia="黑体" w:cs="黑体"/>
          <w:bCs/>
          <w:color w:val="000000"/>
          <w:kern w:val="2"/>
          <w:sz w:val="32"/>
          <w:szCs w:val="32"/>
          <w:shd w:val="clear" w:color="auto" w:fill="FFFFFF"/>
          <w:lang w:bidi="ar-SA"/>
        </w:rPr>
        <w:t>五、实施要求</w:t>
      </w:r>
    </w:p>
    <w:p w14:paraId="770735AB">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（一）全面加强党的领导</w:t>
      </w:r>
    </w:p>
    <w:p w14:paraId="2E1C0087">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加强党的领导是做好中职学校专业人才培养方案制订与实施工作的根本保证。在学校党委领导下，坚持以习近平新时代中国特色社会主义思想为指导，切实加强对专业人才培养方案制订与实施工作的领导，学校党委书记是专业人才培养方案制订与实施的第一责任人。</w:t>
      </w:r>
    </w:p>
    <w:p w14:paraId="37ABD672">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（二）强化课程思政</w:t>
      </w:r>
    </w:p>
    <w:p w14:paraId="1A69A0FF">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积极构建“思政课程+课程思政”大格局，推进全员全过程全方位“三全育人”，实现思想政治教育与技术技能培养的有机统一。结合医药卫生学校学生特点，创新思政课程教学模式。强化专业课教师立德树人意识，结合不同专业人才培养特点和专业能力素质要求，梳理每一门课程蕴含的思想政治教育元素，发挥专业课程承载的思想政治教育功能，推动专业课教学与思想政治理论课教学紧密结合、同向同行。</w:t>
      </w:r>
    </w:p>
    <w:p w14:paraId="02017E01">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（三）组织开发专业课程标准和教学设计</w:t>
      </w:r>
    </w:p>
    <w:p w14:paraId="4D68A7A6">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专业人才培养方案总体要求，制（修）订专业课程标准，明确课程目标，优化课程内容，规范教学过程，及时将新技术、新工艺、新规范纳入课程标准和教学内容。教师准确把握课程教学要求，规范编写、严格执行教学设计，做好课程总体设计，按程序选用教材，合理运用各类教学资源，做好教学组织实施。</w:t>
      </w:r>
    </w:p>
    <w:p w14:paraId="0B2A226D">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（四）深化教师、教材、教法改革</w:t>
      </w:r>
    </w:p>
    <w:p w14:paraId="4D6D93D9">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建设符合项目式、模块化教学需要的教学创新团队，不断优化教师能力结构。健全教材选用制度，选用体现新技术、新工艺、新规范等的高质量教材，引入典型临床案例。总结推广现代学徒制试点经验，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14:paraId="7A370258">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（五）推进信息技术与教学有机融合</w:t>
      </w:r>
    </w:p>
    <w:p w14:paraId="311FE8BC">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适应“互联网+职业教育”新要求，全面提升教师信息技术应用能力，推动大数据、人工智能、虚拟仿真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14:paraId="76213B17">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（六）改进学习过程管理与评价</w:t>
      </w:r>
    </w:p>
    <w:p w14:paraId="3B588BD3">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等实践性教学环节的全过程管理与考核评价。</w:t>
      </w:r>
    </w:p>
    <w:p w14:paraId="5D8B8C69">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本办法自发布之日起执行，由教务科负责解释。</w:t>
      </w:r>
    </w:p>
    <w:p w14:paraId="0BE83587">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p>
    <w:p w14:paraId="0B720854">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p>
    <w:p w14:paraId="199EE26E">
      <w:pPr>
        <w:keepNext w:val="0"/>
        <w:keepLines w:val="0"/>
        <w:pageBreakBefore w:val="0"/>
        <w:kinsoku/>
        <w:wordWrap/>
        <w:overflowPunct/>
        <w:topLinePunct w:val="0"/>
        <w:bidi w:val="0"/>
        <w:adjustRightInd w:val="0"/>
        <w:spacing w:line="500" w:lineRule="exact"/>
        <w:jc w:val="center"/>
        <w:rPr>
          <w:rFonts w:hint="eastAsia" w:asciiTheme="majorEastAsia" w:hAnsiTheme="majorEastAsia" w:eastAsiaTheme="majorEastAsia" w:cstheme="majorEastAsia"/>
          <w:b/>
          <w:bCs/>
          <w:color w:val="000000" w:themeColor="text1"/>
          <w:kern w:val="2"/>
          <w:sz w:val="44"/>
          <w:szCs w:val="44"/>
          <w:lang w:val="en-US" w:eastAsia="zh-CN" w:bidi="ar-SA"/>
          <w14:textFill>
            <w14:solidFill>
              <w14:schemeClr w14:val="tx1"/>
            </w14:solidFill>
          </w14:textFill>
        </w:rPr>
      </w:pPr>
      <w:r>
        <w:rPr>
          <w:rFonts w:hint="eastAsia" w:asciiTheme="majorEastAsia" w:hAnsiTheme="majorEastAsia" w:eastAsiaTheme="majorEastAsia" w:cstheme="majorEastAsia"/>
          <w:b/>
          <w:bCs/>
          <w:color w:val="000000" w:themeColor="text1"/>
          <w:kern w:val="2"/>
          <w:sz w:val="44"/>
          <w:szCs w:val="44"/>
          <w:lang w:val="en-US" w:eastAsia="zh-CN" w:bidi="ar-SA"/>
          <w14:textFill>
            <w14:solidFill>
              <w14:schemeClr w14:val="tx1"/>
            </w14:solidFill>
          </w14:textFill>
        </w:rPr>
        <w:t>课程标准编制及管理办法</w:t>
      </w:r>
    </w:p>
    <w:p w14:paraId="0C4455F3">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color w:val="0000FF"/>
          <w:sz w:val="32"/>
          <w:szCs w:val="32"/>
        </w:rPr>
      </w:pPr>
    </w:p>
    <w:p w14:paraId="476D2282">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highlight w:val="yellow"/>
        </w:rPr>
      </w:pPr>
      <w:r>
        <w:rPr>
          <w:rFonts w:hint="eastAsia" w:ascii="方正仿宋_GB2312" w:hAnsi="方正仿宋_GB2312" w:eastAsia="方正仿宋_GB2312" w:cs="方正仿宋_GB2312"/>
          <w:sz w:val="32"/>
          <w:szCs w:val="32"/>
          <w:shd w:val="clear" w:color="auto" w:fill="auto"/>
        </w:rPr>
        <w:t>为规范课程建设，</w:t>
      </w:r>
      <w:r>
        <w:rPr>
          <w:rFonts w:hint="eastAsia" w:ascii="方正仿宋_GB2312" w:hAnsi="方正仿宋_GB2312" w:eastAsia="方正仿宋_GB2312" w:cs="方正仿宋_GB2312"/>
          <w:sz w:val="32"/>
          <w:szCs w:val="32"/>
          <w:shd w:val="clear" w:color="auto" w:fill="auto"/>
          <w:lang w:val="en-US" w:eastAsia="zh-CN"/>
        </w:rPr>
        <w:t>进一步</w:t>
      </w:r>
      <w:r>
        <w:rPr>
          <w:rFonts w:hint="eastAsia" w:ascii="方正仿宋_GB2312" w:hAnsi="方正仿宋_GB2312" w:eastAsia="方正仿宋_GB2312" w:cs="方正仿宋_GB2312"/>
          <w:sz w:val="32"/>
          <w:szCs w:val="32"/>
          <w:shd w:val="clear" w:color="auto" w:fill="auto"/>
        </w:rPr>
        <w:t>规范课程标准的制订与管理，</w:t>
      </w:r>
      <w:r>
        <w:rPr>
          <w:rFonts w:hint="eastAsia" w:ascii="方正仿宋_GB2312" w:hAnsi="方正仿宋_GB2312" w:eastAsia="方正仿宋_GB2312" w:cs="方正仿宋_GB2312"/>
          <w:sz w:val="32"/>
          <w:szCs w:val="32"/>
          <w:shd w:val="clear" w:color="auto" w:fill="auto"/>
          <w:lang w:val="en-US" w:eastAsia="zh-CN"/>
        </w:rPr>
        <w:t>确保</w:t>
      </w:r>
      <w:r>
        <w:rPr>
          <w:rFonts w:hint="eastAsia" w:ascii="方正仿宋_GB2312" w:hAnsi="方正仿宋_GB2312" w:eastAsia="方正仿宋_GB2312" w:cs="方正仿宋_GB2312"/>
          <w:sz w:val="32"/>
          <w:szCs w:val="32"/>
          <w:shd w:val="clear" w:color="auto" w:fill="auto"/>
        </w:rPr>
        <w:t>专业人才培养方案的</w:t>
      </w:r>
      <w:r>
        <w:rPr>
          <w:rFonts w:hint="eastAsia" w:ascii="方正仿宋_GB2312" w:hAnsi="方正仿宋_GB2312" w:eastAsia="方正仿宋_GB2312" w:cs="方正仿宋_GB2312"/>
          <w:sz w:val="32"/>
          <w:szCs w:val="32"/>
          <w:shd w:val="clear" w:color="auto" w:fill="auto"/>
          <w:lang w:val="en-US" w:eastAsia="zh-CN"/>
        </w:rPr>
        <w:t>有效</w:t>
      </w:r>
      <w:r>
        <w:rPr>
          <w:rFonts w:hint="eastAsia" w:ascii="方正仿宋_GB2312" w:hAnsi="方正仿宋_GB2312" w:eastAsia="方正仿宋_GB2312" w:cs="方正仿宋_GB2312"/>
          <w:sz w:val="32"/>
          <w:szCs w:val="32"/>
          <w:shd w:val="clear" w:color="auto" w:fill="auto"/>
        </w:rPr>
        <w:t>实施</w:t>
      </w:r>
      <w:r>
        <w:rPr>
          <w:rFonts w:hint="eastAsia" w:ascii="方正仿宋_GB2312" w:hAnsi="方正仿宋_GB2312" w:eastAsia="方正仿宋_GB2312" w:cs="方正仿宋_GB2312"/>
          <w:sz w:val="32"/>
          <w:szCs w:val="32"/>
          <w:shd w:val="clear" w:color="auto" w:fill="auto"/>
          <w:lang w:eastAsia="zh-CN"/>
        </w:rPr>
        <w:t>，</w:t>
      </w:r>
      <w:r>
        <w:rPr>
          <w:rFonts w:hint="eastAsia" w:ascii="方正仿宋_GB2312" w:hAnsi="方正仿宋_GB2312" w:eastAsia="方正仿宋_GB2312" w:cs="方正仿宋_GB2312"/>
          <w:sz w:val="32"/>
          <w:szCs w:val="32"/>
          <w:shd w:val="clear" w:color="auto" w:fill="auto"/>
        </w:rPr>
        <w:t>不断提升专业建设内涵及人才培养质量，结合学校专业与课程建设实际，制定本办法。</w:t>
      </w:r>
    </w:p>
    <w:p w14:paraId="55AF99C0">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一、课程标准内涵</w:t>
      </w:r>
    </w:p>
    <w:p w14:paraId="604BAA0F">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课程标准是规定某一专业领域内所属课程的课程性质、课程目标、课程内容、实施建议的教学指导性文件</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课程标准通常包括了几种具有内在关联的标准，主要有内容标准（划定学习领域）和表现标准（规定学生在该学习领域应达到的水平）。</w:t>
      </w:r>
    </w:p>
    <w:p w14:paraId="09C3D866">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二、课程标准编制依据</w:t>
      </w:r>
    </w:p>
    <w:p w14:paraId="49B34557">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（一）在重构专业课程体系的基础上编制课程标准。</w:t>
      </w:r>
    </w:p>
    <w:p w14:paraId="2A274120">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专业应该对专业所对应的职业进行系统化、整体化进行分析的基础上，按照典型工作任务分析法，通过召开实践专家访谈会，提炼典型工作任务、确定职业行动领域、划分学习领域，构建基于工作过程系统化的课程体系，具体确定专业课程体系门类和具体课程。</w:t>
      </w:r>
    </w:p>
    <w:p w14:paraId="18B21752">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（二）在分析职业主要岗位要求的基础上编制课程标准</w:t>
      </w:r>
      <w:r>
        <w:rPr>
          <w:rFonts w:hint="eastAsia" w:ascii="楷体_GB2312" w:hAnsi="楷体_GB2312" w:eastAsia="楷体_GB2312" w:cs="楷体_GB2312"/>
          <w:sz w:val="32"/>
          <w:szCs w:val="32"/>
          <w:lang w:eastAsia="zh-CN"/>
        </w:rPr>
        <w:t>。</w:t>
      </w:r>
    </w:p>
    <w:p w14:paraId="649AEC4F">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各专业要对本专业所对应的职业主要岗位进行调研和分析，主要包括：主要岗位对专业知识、专业技能、专业素质的具体要求和典型工作任务是如何被完成的。</w:t>
      </w:r>
    </w:p>
    <w:p w14:paraId="2DE8AE23">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三、课程标准编制格式与要求</w:t>
      </w:r>
    </w:p>
    <w:p w14:paraId="0D04EC94">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（一）课程标准要素与要求</w:t>
      </w:r>
    </w:p>
    <w:p w14:paraId="6C3750F3">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课程标准必须包含课程的管理信息，对课程的要求、规范等。 </w:t>
      </w:r>
    </w:p>
    <w:p w14:paraId="2BB0CC1C">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1.基本信息</w:t>
      </w:r>
    </w:p>
    <w:p w14:paraId="0B54D351">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包括课程名称、课程代码、适用专业、参考学时、参考学分等。</w:t>
      </w:r>
    </w:p>
    <w:p w14:paraId="1D3E75B6">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en-US"/>
        </w:rPr>
        <w:t>2.</w:t>
      </w:r>
      <w:r>
        <w:rPr>
          <w:rFonts w:hint="eastAsia" w:ascii="方正仿宋_GB2312" w:hAnsi="方正仿宋_GB2312" w:eastAsia="方正仿宋_GB2312" w:cs="方正仿宋_GB2312"/>
          <w:sz w:val="32"/>
          <w:szCs w:val="32"/>
        </w:rPr>
        <w:t>课程描述（职业行动领域、学习目标、工作与学习内容）</w:t>
      </w:r>
    </w:p>
    <w:p w14:paraId="7DCA18CB">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该要素只针对职业核心课程，按照规范要求进行描述。</w:t>
      </w:r>
    </w:p>
    <w:p w14:paraId="0649877B">
      <w:pPr>
        <w:keepNext w:val="0"/>
        <w:keepLines w:val="0"/>
        <w:pageBreakBefore w:val="0"/>
        <w:kinsoku/>
        <w:wordWrap/>
        <w:overflowPunct/>
        <w:topLinePunct w:val="0"/>
        <w:bidi w:val="0"/>
        <w:adjustRightInd w:val="0"/>
        <w:spacing w:line="5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对学习目标的表述要求为：课程学习目标一般包含专业能力和关键能力方面的目标。对于专业能力目标要可测量，而关键能力目标则一般隐含在专业能力目标之中，并不需要直接表述出来。</w:t>
      </w:r>
    </w:p>
    <w:p w14:paraId="3C735FF8">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学习目标一般是对能力的具体描述，但也可以对知识的要求进行规定，但是要注意表达方式。能力目标一般用“能用</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做（制作、制订、处理）</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”等动宾结构的句子来表达。</w:t>
      </w:r>
    </w:p>
    <w:p w14:paraId="285F9C1C">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3.课程性质与地位</w:t>
      </w:r>
    </w:p>
    <w:p w14:paraId="200F53B0">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包括本课程对学生职业能力培养和职业素养养成所起的主要支撑或促进作用，以及与前、后续课程衔接关系。</w:t>
      </w:r>
    </w:p>
    <w:p w14:paraId="0709EDDF">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4.课程目标与作用</w:t>
      </w:r>
    </w:p>
    <w:p w14:paraId="731426F8">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包括知识目标、技能目标、素质目标和思政目标。</w:t>
      </w:r>
    </w:p>
    <w:p w14:paraId="276486F2">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5.课程内容</w:t>
      </w:r>
    </w:p>
    <w:p w14:paraId="3C684918">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包括单元设计模块及对应的教学目标和教学方法以及预计成效。</w:t>
      </w:r>
    </w:p>
    <w:p w14:paraId="531F1539">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6.考核与评价方法</w:t>
      </w:r>
    </w:p>
    <w:p w14:paraId="7B07292F">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考核方式说明、过程考核成绩构成及评定标准、技能考核、考核指标、课程成绩形成（比例分配）、信息化考核手段，课程对应或相关的职业资格证书或专业技能水平证书。</w:t>
      </w:r>
    </w:p>
    <w:p w14:paraId="138C0FCD">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7.课程教学实施建议</w:t>
      </w:r>
    </w:p>
    <w:p w14:paraId="7718D531">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根据课程实施的各个环节，提出教学建议、教材编写建议等。 </w:t>
      </w:r>
    </w:p>
    <w:p w14:paraId="4429A196">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8.其它说明</w:t>
      </w:r>
    </w:p>
    <w:p w14:paraId="32E1FE1E">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对以上不能涵盖的内容作必要的说明。</w:t>
      </w:r>
    </w:p>
    <w:p w14:paraId="394BECBD">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（二）课程标准参考格式</w:t>
      </w:r>
    </w:p>
    <w:p w14:paraId="3055C630">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参考附件。</w:t>
      </w:r>
    </w:p>
    <w:p w14:paraId="6E57B518">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四、课程标准的管理</w:t>
      </w:r>
    </w:p>
    <w:p w14:paraId="544E503D">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（一）教务</w:t>
      </w:r>
      <w:r>
        <w:rPr>
          <w:rFonts w:hint="eastAsia" w:ascii="方正仿宋_GB2312" w:hAnsi="方正仿宋_GB2312" w:eastAsia="方正仿宋_GB2312" w:cs="方正仿宋_GB2312"/>
          <w:sz w:val="32"/>
          <w:szCs w:val="32"/>
          <w:lang w:val="en-US" w:eastAsia="zh-CN"/>
        </w:rPr>
        <w:t>科</w:t>
      </w:r>
      <w:r>
        <w:rPr>
          <w:rFonts w:hint="eastAsia" w:ascii="方正仿宋_GB2312" w:hAnsi="方正仿宋_GB2312" w:eastAsia="方正仿宋_GB2312" w:cs="方正仿宋_GB2312"/>
          <w:sz w:val="32"/>
          <w:szCs w:val="32"/>
        </w:rPr>
        <w:t>制定课程标准编制的总体要求，各</w:t>
      </w:r>
      <w:r>
        <w:rPr>
          <w:rFonts w:hint="eastAsia" w:ascii="方正仿宋_GB2312" w:hAnsi="方正仿宋_GB2312" w:eastAsia="方正仿宋_GB2312" w:cs="方正仿宋_GB2312"/>
          <w:sz w:val="32"/>
          <w:szCs w:val="32"/>
          <w:lang w:val="en-US" w:eastAsia="zh-CN"/>
        </w:rPr>
        <w:t>教学部</w:t>
      </w:r>
      <w:r>
        <w:rPr>
          <w:rFonts w:hint="eastAsia" w:ascii="方正仿宋_GB2312" w:hAnsi="方正仿宋_GB2312" w:eastAsia="方正仿宋_GB2312" w:cs="方正仿宋_GB2312"/>
          <w:sz w:val="32"/>
          <w:szCs w:val="32"/>
        </w:rPr>
        <w:t>根据总体要求，组织骨干教师、专业带头人落实每门课程的课程标准编制工作。</w:t>
      </w:r>
    </w:p>
    <w:p w14:paraId="2C6B1304">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（二）各</w:t>
      </w:r>
      <w:r>
        <w:rPr>
          <w:rFonts w:hint="eastAsia" w:ascii="方正仿宋_GB2312" w:hAnsi="方正仿宋_GB2312" w:eastAsia="方正仿宋_GB2312" w:cs="方正仿宋_GB2312"/>
          <w:sz w:val="32"/>
          <w:szCs w:val="32"/>
          <w:lang w:val="en-US" w:eastAsia="zh-CN"/>
        </w:rPr>
        <w:t>教学部</w:t>
      </w:r>
      <w:r>
        <w:rPr>
          <w:rFonts w:hint="eastAsia" w:ascii="方正仿宋_GB2312" w:hAnsi="方正仿宋_GB2312" w:eastAsia="方正仿宋_GB2312" w:cs="方正仿宋_GB2312"/>
          <w:sz w:val="32"/>
          <w:szCs w:val="32"/>
        </w:rPr>
        <w:t>要组织专业建设指导委员会对每门课程标准进行审定，经教务</w:t>
      </w:r>
      <w:r>
        <w:rPr>
          <w:rFonts w:hint="eastAsia" w:ascii="方正仿宋_GB2312" w:hAnsi="方正仿宋_GB2312" w:eastAsia="方正仿宋_GB2312" w:cs="方正仿宋_GB2312"/>
          <w:sz w:val="32"/>
          <w:szCs w:val="32"/>
          <w:lang w:val="en-US" w:eastAsia="zh-CN"/>
        </w:rPr>
        <w:t>科</w:t>
      </w:r>
      <w:r>
        <w:rPr>
          <w:rFonts w:hint="eastAsia" w:ascii="方正仿宋_GB2312" w:hAnsi="方正仿宋_GB2312" w:eastAsia="方正仿宋_GB2312" w:cs="方正仿宋_GB2312"/>
          <w:sz w:val="32"/>
          <w:szCs w:val="32"/>
        </w:rPr>
        <w:t>审核、学校教学指导委员会批准后实施。</w:t>
      </w:r>
    </w:p>
    <w:p w14:paraId="2DB0A007">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shd w:val="clear" w:color="auto" w:fill="auto"/>
          <w:lang w:eastAsia="zh-CN"/>
        </w:rPr>
      </w:pPr>
      <w:r>
        <w:rPr>
          <w:rFonts w:hint="eastAsia" w:ascii="方正仿宋_GB2312" w:hAnsi="方正仿宋_GB2312" w:eastAsia="方正仿宋_GB2312" w:cs="方正仿宋_GB2312"/>
          <w:sz w:val="32"/>
          <w:szCs w:val="32"/>
        </w:rPr>
        <w:t>（三）根据行业企业对课程的要求变化，</w:t>
      </w:r>
      <w:r>
        <w:rPr>
          <w:rFonts w:hint="eastAsia" w:ascii="方正仿宋_GB2312" w:hAnsi="方正仿宋_GB2312" w:eastAsia="方正仿宋_GB2312" w:cs="方正仿宋_GB2312"/>
          <w:sz w:val="32"/>
          <w:szCs w:val="32"/>
          <w:shd w:val="clear" w:color="auto" w:fill="auto"/>
        </w:rPr>
        <w:t>课程标准适时做调整。</w:t>
      </w:r>
    </w:p>
    <w:p w14:paraId="09DC7519">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（四）课程标准随人才培养方案、课程设置的调整而实行动态管理。</w:t>
      </w:r>
    </w:p>
    <w:p w14:paraId="1FB8FB9D">
      <w:pPr>
        <w:keepNext w:val="0"/>
        <w:keepLines w:val="0"/>
        <w:pageBreakBefore w:val="0"/>
        <w:kinsoku/>
        <w:wordWrap/>
        <w:overflowPunct/>
        <w:topLinePunct w:val="0"/>
        <w:bidi w:val="0"/>
        <w:adjustRightInd w:val="0"/>
        <w:spacing w:line="5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（五）本办法自发布之日起施行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具体事项</w:t>
      </w:r>
      <w:r>
        <w:rPr>
          <w:rFonts w:hint="eastAsia" w:ascii="方正仿宋_GB2312" w:hAnsi="方正仿宋_GB2312" w:eastAsia="方正仿宋_GB2312" w:cs="方正仿宋_GB2312"/>
          <w:sz w:val="32"/>
          <w:szCs w:val="32"/>
        </w:rPr>
        <w:t>由教务</w:t>
      </w:r>
      <w:r>
        <w:rPr>
          <w:rFonts w:hint="eastAsia" w:ascii="方正仿宋_GB2312" w:hAnsi="方正仿宋_GB2312" w:eastAsia="方正仿宋_GB2312" w:cs="方正仿宋_GB2312"/>
          <w:sz w:val="32"/>
          <w:szCs w:val="32"/>
          <w:lang w:val="en-US" w:eastAsia="zh-CN"/>
        </w:rPr>
        <w:t>科</w:t>
      </w:r>
      <w:r>
        <w:rPr>
          <w:rFonts w:hint="eastAsia" w:ascii="方正仿宋_GB2312" w:hAnsi="方正仿宋_GB2312" w:eastAsia="方正仿宋_GB2312" w:cs="方正仿宋_GB2312"/>
          <w:sz w:val="32"/>
          <w:szCs w:val="32"/>
        </w:rPr>
        <w:t>负责解释。</w:t>
      </w:r>
    </w:p>
    <w:p w14:paraId="489FE1B9">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p>
    <w:p w14:paraId="7521D700">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附件：课程标准模板</w:t>
      </w:r>
    </w:p>
    <w:p w14:paraId="04971B8E">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1969F46E">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p w14:paraId="6BD5F14D">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课程标准模板</w:t>
      </w:r>
    </w:p>
    <w:p w14:paraId="497A1960">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p w14:paraId="50933EA3">
      <w:pPr>
        <w:keepNext w:val="0"/>
        <w:keepLines w:val="0"/>
        <w:pageBreakBefore w:val="0"/>
        <w:widowControl/>
        <w:kinsoku/>
        <w:wordWrap/>
        <w:overflowPunct/>
        <w:topLinePunct w:val="0"/>
        <w:autoSpaceDE w:val="0"/>
        <w:autoSpaceDN w:val="0"/>
        <w:bidi w:val="0"/>
        <w:adjustRightInd w:val="0"/>
        <w:snapToGrid w:val="0"/>
        <w:spacing w:line="500" w:lineRule="exact"/>
        <w:ind w:firstLine="2240" w:firstLineChars="7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XXXX》课程标准</w:t>
      </w:r>
    </w:p>
    <w:p w14:paraId="145318A6">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p w14:paraId="4EF73AC4">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p w14:paraId="1DDE434A">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一、基本信息</w:t>
      </w:r>
    </w:p>
    <w:p w14:paraId="32C31D2C">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bl>
      <w:tblPr>
        <w:tblStyle w:val="10"/>
        <w:tblW w:w="0" w:type="auto"/>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8"/>
        <w:gridCol w:w="3116"/>
        <w:gridCol w:w="1547"/>
        <w:gridCol w:w="2049"/>
      </w:tblGrid>
      <w:tr w14:paraId="58DAE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18" w:type="dxa"/>
            <w:vAlign w:val="top"/>
          </w:tcPr>
          <w:p w14:paraId="7238722B">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课程名称</w:t>
            </w:r>
          </w:p>
        </w:tc>
        <w:tc>
          <w:tcPr>
            <w:tcW w:w="3116" w:type="dxa"/>
            <w:vAlign w:val="top"/>
          </w:tcPr>
          <w:p w14:paraId="088BF8B8">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填写课程全称</w:t>
            </w:r>
          </w:p>
        </w:tc>
        <w:tc>
          <w:tcPr>
            <w:tcW w:w="1547" w:type="dxa"/>
            <w:vAlign w:val="top"/>
          </w:tcPr>
          <w:p w14:paraId="15AF4851">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课程类别</w:t>
            </w:r>
          </w:p>
        </w:tc>
        <w:tc>
          <w:tcPr>
            <w:tcW w:w="2049" w:type="dxa"/>
            <w:vAlign w:val="top"/>
          </w:tcPr>
          <w:p w14:paraId="3946F518">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o专业必修课</w:t>
            </w:r>
          </w:p>
          <w:p w14:paraId="18000405">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o专业选修课</w:t>
            </w:r>
          </w:p>
        </w:tc>
      </w:tr>
      <w:tr w14:paraId="72655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18" w:type="dxa"/>
            <w:vAlign w:val="top"/>
          </w:tcPr>
          <w:p w14:paraId="649C69CF">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总课时</w:t>
            </w:r>
          </w:p>
        </w:tc>
        <w:tc>
          <w:tcPr>
            <w:tcW w:w="3116" w:type="dxa"/>
            <w:vAlign w:val="top"/>
          </w:tcPr>
          <w:p w14:paraId="2C869252">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547" w:type="dxa"/>
            <w:vAlign w:val="top"/>
          </w:tcPr>
          <w:p w14:paraId="130E1B08">
            <w:pPr>
              <w:keepNext w:val="0"/>
              <w:keepLines w:val="0"/>
              <w:pageBreakBefore w:val="0"/>
              <w:widowControl/>
              <w:kinsoku/>
              <w:wordWrap/>
              <w:overflowPunct/>
              <w:topLinePunct w:val="0"/>
              <w:autoSpaceDE w:val="0"/>
              <w:autoSpaceDN w:val="0"/>
              <w:bidi w:val="0"/>
              <w:adjustRightInd w:val="0"/>
              <w:snapToGrid w:val="0"/>
              <w:spacing w:line="500" w:lineRule="exact"/>
              <w:jc w:val="center"/>
              <w:textAlignment w:val="baseline"/>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学分</w:t>
            </w:r>
          </w:p>
        </w:tc>
        <w:tc>
          <w:tcPr>
            <w:tcW w:w="2049" w:type="dxa"/>
            <w:vAlign w:val="top"/>
          </w:tcPr>
          <w:p w14:paraId="00240DBD">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r>
      <w:tr w14:paraId="56D6F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518" w:type="dxa"/>
            <w:vAlign w:val="top"/>
          </w:tcPr>
          <w:p w14:paraId="5C701C82">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适用专业</w:t>
            </w:r>
          </w:p>
        </w:tc>
        <w:tc>
          <w:tcPr>
            <w:tcW w:w="3116" w:type="dxa"/>
            <w:vAlign w:val="top"/>
          </w:tcPr>
          <w:p w14:paraId="5F93748D">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547" w:type="dxa"/>
            <w:vAlign w:val="top"/>
          </w:tcPr>
          <w:p w14:paraId="481B5D8B">
            <w:pPr>
              <w:keepNext w:val="0"/>
              <w:keepLines w:val="0"/>
              <w:pageBreakBefore w:val="0"/>
              <w:widowControl/>
              <w:kinsoku/>
              <w:wordWrap/>
              <w:overflowPunct/>
              <w:topLinePunct w:val="0"/>
              <w:autoSpaceDE w:val="0"/>
              <w:autoSpaceDN w:val="0"/>
              <w:bidi w:val="0"/>
              <w:adjustRightInd w:val="0"/>
              <w:snapToGrid w:val="0"/>
              <w:spacing w:line="500" w:lineRule="exact"/>
              <w:jc w:val="center"/>
              <w:textAlignment w:val="baseline"/>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课程代码</w:t>
            </w:r>
          </w:p>
        </w:tc>
        <w:tc>
          <w:tcPr>
            <w:tcW w:w="2049" w:type="dxa"/>
            <w:vAlign w:val="top"/>
          </w:tcPr>
          <w:p w14:paraId="00EF9FFE">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r>
      <w:tr w14:paraId="41B28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1518" w:type="dxa"/>
            <w:vAlign w:val="top"/>
          </w:tcPr>
          <w:p w14:paraId="37BDD612">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教学资源（包 括但不限于 微课、动画、</w:t>
            </w:r>
          </w:p>
          <w:p w14:paraId="3EA0ECDF">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课件、仿真软 件等等）</w:t>
            </w:r>
          </w:p>
        </w:tc>
        <w:tc>
          <w:tcPr>
            <w:tcW w:w="3116" w:type="dxa"/>
            <w:vAlign w:val="top"/>
          </w:tcPr>
          <w:p w14:paraId="642B3651">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p w14:paraId="752EDECD">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p w14:paraId="28529D0D">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资源名称</w:t>
            </w:r>
          </w:p>
        </w:tc>
        <w:tc>
          <w:tcPr>
            <w:tcW w:w="3596" w:type="dxa"/>
            <w:gridSpan w:val="2"/>
            <w:vAlign w:val="top"/>
          </w:tcPr>
          <w:p w14:paraId="01A26119">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p w14:paraId="7BF9A095">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p w14:paraId="6E045A4E">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作用（资源所发挥的作用）</w:t>
            </w:r>
          </w:p>
        </w:tc>
      </w:tr>
      <w:tr w14:paraId="232D4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18" w:type="dxa"/>
            <w:vAlign w:val="top"/>
          </w:tcPr>
          <w:p w14:paraId="655C05EE">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3116" w:type="dxa"/>
            <w:vAlign w:val="top"/>
          </w:tcPr>
          <w:p w14:paraId="30B10AF9">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3596" w:type="dxa"/>
            <w:gridSpan w:val="2"/>
            <w:vAlign w:val="top"/>
          </w:tcPr>
          <w:p w14:paraId="40452F74">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r>
      <w:tr w14:paraId="6E54B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518" w:type="dxa"/>
            <w:vAlign w:val="top"/>
          </w:tcPr>
          <w:p w14:paraId="61285B30">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可以是自主开发的资源</w:t>
            </w:r>
          </w:p>
        </w:tc>
        <w:tc>
          <w:tcPr>
            <w:tcW w:w="3116" w:type="dxa"/>
            <w:vAlign w:val="top"/>
          </w:tcPr>
          <w:p w14:paraId="2E3899B4">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3596" w:type="dxa"/>
            <w:gridSpan w:val="2"/>
            <w:vAlign w:val="top"/>
          </w:tcPr>
          <w:p w14:paraId="09EAEAC2">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r>
    </w:tbl>
    <w:p w14:paraId="1009CD3D">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二、课程描述</w:t>
      </w:r>
    </w:p>
    <w:p w14:paraId="7C07E076">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描述这是一门什么样的课程，根据什么设立的，包括哪些教学内容。</w:t>
      </w:r>
    </w:p>
    <w:p w14:paraId="413443E9">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三、课程性质与地位</w:t>
      </w:r>
    </w:p>
    <w:p w14:paraId="68B7CCD9">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包括本课程对学生职业能力培养和职业素养养成所起的主要支撑或 促进作用，以及与前、后续课程衔接关系。</w:t>
      </w:r>
    </w:p>
    <w:p w14:paraId="4C00D727">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四、课程目标与作用</w:t>
      </w:r>
    </w:p>
    <w:p w14:paraId="567BA40E">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（一）课程目标</w:t>
      </w:r>
    </w:p>
    <w:p w14:paraId="0574040C">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1．知识目标</w:t>
      </w:r>
    </w:p>
    <w:p w14:paraId="5FA65815">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知识目标区别于学科系统化的知识，是指在工作过程中直接需要的， 常在工作过程中获得的工作过程知识，并包括必要的理论知识在内，体现 “必须、够用”的原则。</w:t>
      </w:r>
    </w:p>
    <w:p w14:paraId="4634E939">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2．技能目标</w:t>
      </w:r>
    </w:p>
    <w:p w14:paraId="3736505B">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以职业岗位需求为准。用具体、可测量、可掌握或可检验的语言，准确描述本课程的能力目标。</w:t>
      </w:r>
    </w:p>
    <w:p w14:paraId="0A10C41D">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3．素质目标</w:t>
      </w:r>
    </w:p>
    <w:p w14:paraId="654C33EF">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素质目标指学生在完成本门课程学习过程中应形成的职业态度和素质要求。</w:t>
      </w:r>
    </w:p>
    <w:p w14:paraId="7D8B01DD">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4．思政目标</w:t>
      </w:r>
    </w:p>
    <w:p w14:paraId="5D0ECA03">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描述根据课程专业教育要求，有机融入理想信念、社会主义核心价值观、</w:t>
      </w:r>
      <w:r>
        <w:rPr>
          <w:rFonts w:hint="eastAsia" w:ascii="仿宋_GB2312" w:hAnsi="仿宋_GB2312" w:eastAsia="仿宋_GB2312" w:cs="仿宋_GB2312"/>
          <w:sz w:val="32"/>
          <w:szCs w:val="32"/>
          <w:lang w:eastAsia="zh-CN"/>
        </w:rPr>
        <w:t>中华优秀传统文化</w:t>
      </w:r>
      <w:r>
        <w:rPr>
          <w:rFonts w:hint="eastAsia" w:ascii="仿宋_GB2312" w:hAnsi="仿宋_GB2312" w:eastAsia="仿宋_GB2312" w:cs="仿宋_GB2312"/>
          <w:sz w:val="32"/>
          <w:szCs w:val="32"/>
        </w:rPr>
        <w:t>、职业素养、生态文明等教育的内容。</w:t>
      </w:r>
    </w:p>
    <w:p w14:paraId="673E2A8C">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课程作用</w:t>
      </w:r>
    </w:p>
    <w:p w14:paraId="2FD904D0">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XXXXXXXXXX 正文 XXXXXXXXXX</w:t>
      </w:r>
    </w:p>
    <w:p w14:paraId="5FED98A4">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五、课程内容</w:t>
      </w:r>
    </w:p>
    <w:p w14:paraId="3919F502">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bl>
      <w:tblPr>
        <w:tblStyle w:val="10"/>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4"/>
        <w:gridCol w:w="1492"/>
        <w:gridCol w:w="1490"/>
        <w:gridCol w:w="1490"/>
        <w:gridCol w:w="1490"/>
        <w:gridCol w:w="1497"/>
      </w:tblGrid>
      <w:tr w14:paraId="1B927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494" w:type="dxa"/>
            <w:vAlign w:val="top"/>
          </w:tcPr>
          <w:p w14:paraId="0075DE9F">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项目/情境/ 模块</w:t>
            </w:r>
          </w:p>
        </w:tc>
        <w:tc>
          <w:tcPr>
            <w:tcW w:w="1492" w:type="dxa"/>
            <w:vAlign w:val="top"/>
          </w:tcPr>
          <w:p w14:paraId="284DB362">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课程专业 目标</w:t>
            </w:r>
          </w:p>
        </w:tc>
        <w:tc>
          <w:tcPr>
            <w:tcW w:w="1490" w:type="dxa"/>
            <w:vAlign w:val="top"/>
          </w:tcPr>
          <w:p w14:paraId="3B89D4C4">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课程育德 目标</w:t>
            </w:r>
          </w:p>
        </w:tc>
        <w:tc>
          <w:tcPr>
            <w:tcW w:w="1490" w:type="dxa"/>
            <w:vAlign w:val="top"/>
          </w:tcPr>
          <w:p w14:paraId="1C83EA07">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思政映射与 融入点</w:t>
            </w:r>
          </w:p>
        </w:tc>
        <w:tc>
          <w:tcPr>
            <w:tcW w:w="1490" w:type="dxa"/>
            <w:vAlign w:val="top"/>
          </w:tcPr>
          <w:p w14:paraId="76BE7DB9">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教学方法和 载体途径</w:t>
            </w:r>
          </w:p>
        </w:tc>
        <w:tc>
          <w:tcPr>
            <w:tcW w:w="1497" w:type="dxa"/>
            <w:vAlign w:val="top"/>
          </w:tcPr>
          <w:p w14:paraId="3308CCB2">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预期成效</w:t>
            </w:r>
          </w:p>
        </w:tc>
      </w:tr>
      <w:tr w14:paraId="2CD4F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94" w:type="dxa"/>
            <w:vAlign w:val="top"/>
          </w:tcPr>
          <w:p w14:paraId="246372CB">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2" w:type="dxa"/>
            <w:vAlign w:val="top"/>
          </w:tcPr>
          <w:p w14:paraId="48F3EE3B">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0" w:type="dxa"/>
            <w:vAlign w:val="top"/>
          </w:tcPr>
          <w:p w14:paraId="23BC0D6A">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0" w:type="dxa"/>
            <w:vAlign w:val="top"/>
          </w:tcPr>
          <w:p w14:paraId="27579A67">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0" w:type="dxa"/>
            <w:vAlign w:val="top"/>
          </w:tcPr>
          <w:p w14:paraId="4FF19BDC">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7" w:type="dxa"/>
            <w:vAlign w:val="top"/>
          </w:tcPr>
          <w:p w14:paraId="5B48ADAE">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r>
      <w:tr w14:paraId="63A8D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94" w:type="dxa"/>
            <w:vAlign w:val="top"/>
          </w:tcPr>
          <w:p w14:paraId="165C3E06">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2" w:type="dxa"/>
            <w:vAlign w:val="top"/>
          </w:tcPr>
          <w:p w14:paraId="6939A9FA">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0" w:type="dxa"/>
            <w:vAlign w:val="top"/>
          </w:tcPr>
          <w:p w14:paraId="5FE7E21A">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0" w:type="dxa"/>
            <w:vAlign w:val="top"/>
          </w:tcPr>
          <w:p w14:paraId="0A7930A7">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0" w:type="dxa"/>
            <w:vAlign w:val="top"/>
          </w:tcPr>
          <w:p w14:paraId="5B6A035B">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7" w:type="dxa"/>
            <w:vAlign w:val="top"/>
          </w:tcPr>
          <w:p w14:paraId="19E746FB">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r>
      <w:tr w14:paraId="5419A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94" w:type="dxa"/>
            <w:vAlign w:val="top"/>
          </w:tcPr>
          <w:p w14:paraId="7570D6DB">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2" w:type="dxa"/>
            <w:vAlign w:val="top"/>
          </w:tcPr>
          <w:p w14:paraId="7D97AC27">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0" w:type="dxa"/>
            <w:vAlign w:val="top"/>
          </w:tcPr>
          <w:p w14:paraId="1706E4CB">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0" w:type="dxa"/>
            <w:vAlign w:val="top"/>
          </w:tcPr>
          <w:p w14:paraId="43D39C8A">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0" w:type="dxa"/>
            <w:vAlign w:val="top"/>
          </w:tcPr>
          <w:p w14:paraId="76815491">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7" w:type="dxa"/>
            <w:vAlign w:val="top"/>
          </w:tcPr>
          <w:p w14:paraId="14D5AA2B">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r>
      <w:tr w14:paraId="1723F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94" w:type="dxa"/>
            <w:vAlign w:val="top"/>
          </w:tcPr>
          <w:p w14:paraId="41EB150F">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2" w:type="dxa"/>
            <w:vAlign w:val="top"/>
          </w:tcPr>
          <w:p w14:paraId="30E89095">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0" w:type="dxa"/>
            <w:vAlign w:val="top"/>
          </w:tcPr>
          <w:p w14:paraId="5D68E650">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0" w:type="dxa"/>
            <w:vAlign w:val="top"/>
          </w:tcPr>
          <w:p w14:paraId="05946B14">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0" w:type="dxa"/>
            <w:vAlign w:val="top"/>
          </w:tcPr>
          <w:p w14:paraId="6357EB6C">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7" w:type="dxa"/>
            <w:vAlign w:val="top"/>
          </w:tcPr>
          <w:p w14:paraId="54FE0B7E">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r>
      <w:tr w14:paraId="71256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 w:hRule="atLeast"/>
        </w:trPr>
        <w:tc>
          <w:tcPr>
            <w:tcW w:w="1494" w:type="dxa"/>
            <w:vAlign w:val="top"/>
          </w:tcPr>
          <w:p w14:paraId="5E96A5F6">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2" w:type="dxa"/>
            <w:vAlign w:val="top"/>
          </w:tcPr>
          <w:p w14:paraId="41424514">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0" w:type="dxa"/>
            <w:vAlign w:val="top"/>
          </w:tcPr>
          <w:p w14:paraId="032B9F12">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0" w:type="dxa"/>
            <w:vAlign w:val="top"/>
          </w:tcPr>
          <w:p w14:paraId="6C765FD6">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0" w:type="dxa"/>
            <w:vAlign w:val="top"/>
          </w:tcPr>
          <w:p w14:paraId="385DAB4D">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97" w:type="dxa"/>
            <w:vAlign w:val="top"/>
          </w:tcPr>
          <w:p w14:paraId="1F686C6E">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r>
    </w:tbl>
    <w:p w14:paraId="78D85833">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w:t>
      </w:r>
    </w:p>
    <w:p w14:paraId="36C17661">
      <w:pPr>
        <w:keepNext w:val="0"/>
        <w:keepLines w:val="0"/>
        <w:pageBreakBefore w:val="0"/>
        <w:widowControl/>
        <w:kinsoku/>
        <w:wordWrap/>
        <w:overflowPunct/>
        <w:topLinePunct w:val="0"/>
        <w:autoSpaceDE w:val="0"/>
        <w:autoSpaceDN w:val="0"/>
        <w:bidi w:val="0"/>
        <w:adjustRightInd w:val="0"/>
        <w:snapToGrid w:val="0"/>
        <w:spacing w:line="500" w:lineRule="exact"/>
        <w:ind w:firstLine="320" w:firstLineChars="1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（1）思政映射与融入点：描述课程教学中能将思想政治教育内容与专业知识技能教育内 容有机融合的领域；</w:t>
      </w:r>
    </w:p>
    <w:p w14:paraId="2FADB8BD">
      <w:pPr>
        <w:keepNext w:val="0"/>
        <w:keepLines w:val="0"/>
        <w:pageBreakBefore w:val="0"/>
        <w:widowControl/>
        <w:kinsoku/>
        <w:wordWrap/>
        <w:overflowPunct/>
        <w:topLinePunct w:val="0"/>
        <w:autoSpaceDE w:val="0"/>
        <w:autoSpaceDN w:val="0"/>
        <w:bidi w:val="0"/>
        <w:adjustRightInd w:val="0"/>
        <w:snapToGrid w:val="0"/>
        <w:spacing w:line="500" w:lineRule="exact"/>
        <w:ind w:firstLine="320" w:firstLineChars="1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（2）教学方法和载体途径：描述诸如信息化载体、参观体验、课堂讨论、考核方式以及使用 教材等；</w:t>
      </w:r>
    </w:p>
    <w:p w14:paraId="3949721D">
      <w:pPr>
        <w:keepNext w:val="0"/>
        <w:keepLines w:val="0"/>
        <w:pageBreakBefore w:val="0"/>
        <w:widowControl/>
        <w:kinsoku/>
        <w:wordWrap/>
        <w:overflowPunct/>
        <w:topLinePunct w:val="0"/>
        <w:autoSpaceDE w:val="0"/>
        <w:autoSpaceDN w:val="0"/>
        <w:bidi w:val="0"/>
        <w:adjustRightInd w:val="0"/>
        <w:snapToGrid w:val="0"/>
        <w:spacing w:line="500" w:lineRule="exact"/>
        <w:ind w:firstLine="320" w:firstLineChars="1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（3）预期成效：描述与课程育人目标对应的具体成效，尽可能可观察、可评估、让学生有获 得感。</w:t>
      </w:r>
    </w:p>
    <w:p w14:paraId="4DFB24EB">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六、考核与评价方法</w:t>
      </w:r>
    </w:p>
    <w:p w14:paraId="52033C41">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考核方式说明、过程考核成绩构成及评定标准、技能考核、考核指标、 课程成绩形成（比例分配）、信息化考核手段，课程对应或相关的职业资 格证书或专业技能水平证书。</w:t>
      </w:r>
    </w:p>
    <w:p w14:paraId="32B1E68B">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七、课程教学实施建议</w:t>
      </w:r>
    </w:p>
    <w:p w14:paraId="6B3FA375">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根据课程实施的各个环节，提出教学建议、教材编写建议等。</w:t>
      </w:r>
    </w:p>
    <w:p w14:paraId="5A316EAE">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（一）教材编写</w:t>
      </w:r>
    </w:p>
    <w:p w14:paraId="15006907">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选用先进、适用教材，结合信息化教学手段，引入企业行业标准，与行业企业合作编写工学结合特色教材，教材编写的设计思想和基本方法。</w:t>
      </w:r>
    </w:p>
    <w:p w14:paraId="41BC4F8D">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（二）教学方法与策略</w:t>
      </w:r>
    </w:p>
    <w:p w14:paraId="7D6B3049">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1.教学模式</w:t>
      </w:r>
    </w:p>
    <w:p w14:paraId="6C898D65">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根据课程内容和特点，选择合适的教学模式，如项目化教学、情境教学、线上线下混合教学、翻转课堂等模式。</w:t>
      </w:r>
    </w:p>
    <w:p w14:paraId="032E7573">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2.教学方法</w:t>
      </w:r>
    </w:p>
    <w:p w14:paraId="7A5C7179">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根据课程内容和学生特点，灵活运用案例分析、分组讨论、角色扮演、启发引导等教学方法，引导学生积极思考、乐于实践，提高教与学的效果。</w:t>
      </w:r>
    </w:p>
    <w:p w14:paraId="7159C8DC">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3.教学策略</w:t>
      </w:r>
    </w:p>
    <w:p w14:paraId="65EFC343">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教学策略得当，充分运用信息技术、数字资源、教学资源平台、教学资源库、仿真软件等，优化教学过程，提高教学质量和效率，取得实效。</w:t>
      </w:r>
    </w:p>
    <w:p w14:paraId="3633E43C">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（三）课程教学环境要求</w:t>
      </w:r>
    </w:p>
    <w:p w14:paraId="72FC5782">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信息化教学环境表</w:t>
      </w:r>
    </w:p>
    <w:tbl>
      <w:tblPr>
        <w:tblStyle w:val="10"/>
        <w:tblW w:w="0" w:type="auto"/>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
        <w:gridCol w:w="1436"/>
        <w:gridCol w:w="2548"/>
        <w:gridCol w:w="2093"/>
        <w:gridCol w:w="1595"/>
      </w:tblGrid>
      <w:tr w14:paraId="77E98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41" w:type="dxa"/>
            <w:vMerge w:val="restart"/>
            <w:tcBorders>
              <w:bottom w:val="nil"/>
            </w:tcBorders>
            <w:vAlign w:val="top"/>
          </w:tcPr>
          <w:p w14:paraId="4834706A">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p w14:paraId="06775C77">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436" w:type="dxa"/>
            <w:vMerge w:val="restart"/>
            <w:tcBorders>
              <w:bottom w:val="nil"/>
            </w:tcBorders>
            <w:vAlign w:val="top"/>
          </w:tcPr>
          <w:p w14:paraId="65C0AC0F">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p w14:paraId="363EF4C8">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教室名称</w:t>
            </w:r>
          </w:p>
        </w:tc>
        <w:tc>
          <w:tcPr>
            <w:tcW w:w="2548" w:type="dxa"/>
            <w:vMerge w:val="restart"/>
            <w:tcBorders>
              <w:bottom w:val="nil"/>
            </w:tcBorders>
            <w:vAlign w:val="top"/>
          </w:tcPr>
          <w:p w14:paraId="1957F4AD">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p w14:paraId="0CC940AC">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功  能</w:t>
            </w:r>
          </w:p>
        </w:tc>
        <w:tc>
          <w:tcPr>
            <w:tcW w:w="3688" w:type="dxa"/>
            <w:gridSpan w:val="2"/>
            <w:vAlign w:val="top"/>
          </w:tcPr>
          <w:p w14:paraId="147813CA">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配置要求</w:t>
            </w:r>
          </w:p>
        </w:tc>
      </w:tr>
      <w:tr w14:paraId="55033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41" w:type="dxa"/>
            <w:vMerge w:val="continue"/>
            <w:tcBorders>
              <w:top w:val="nil"/>
            </w:tcBorders>
            <w:vAlign w:val="top"/>
          </w:tcPr>
          <w:p w14:paraId="12DC9D2F">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36" w:type="dxa"/>
            <w:vMerge w:val="continue"/>
            <w:tcBorders>
              <w:top w:val="nil"/>
            </w:tcBorders>
            <w:vAlign w:val="top"/>
          </w:tcPr>
          <w:p w14:paraId="65C3C624">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2548" w:type="dxa"/>
            <w:vMerge w:val="continue"/>
            <w:tcBorders>
              <w:top w:val="nil"/>
            </w:tcBorders>
            <w:vAlign w:val="top"/>
          </w:tcPr>
          <w:p w14:paraId="16CB8D16">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2093" w:type="dxa"/>
            <w:vAlign w:val="top"/>
          </w:tcPr>
          <w:p w14:paraId="4725B6D7">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设备名称</w:t>
            </w:r>
          </w:p>
        </w:tc>
        <w:tc>
          <w:tcPr>
            <w:tcW w:w="1595" w:type="dxa"/>
            <w:vAlign w:val="top"/>
          </w:tcPr>
          <w:p w14:paraId="25DF7D79">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最少数量</w:t>
            </w:r>
          </w:p>
        </w:tc>
      </w:tr>
      <w:tr w14:paraId="3C0A7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1" w:type="dxa"/>
            <w:vMerge w:val="restart"/>
            <w:tcBorders>
              <w:bottom w:val="nil"/>
            </w:tcBorders>
            <w:vAlign w:val="top"/>
          </w:tcPr>
          <w:p w14:paraId="0B7EFD61">
            <w:pPr>
              <w:keepNext w:val="0"/>
              <w:keepLines w:val="0"/>
              <w:pageBreakBefore w:val="0"/>
              <w:widowControl/>
              <w:kinsoku/>
              <w:wordWrap/>
              <w:overflowPunct/>
              <w:topLinePunct w:val="0"/>
              <w:autoSpaceDE w:val="0"/>
              <w:autoSpaceDN w:val="0"/>
              <w:bidi w:val="0"/>
              <w:adjustRightInd w:val="0"/>
              <w:snapToGrid w:val="0"/>
              <w:spacing w:line="50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436" w:type="dxa"/>
            <w:vMerge w:val="restart"/>
            <w:tcBorders>
              <w:bottom w:val="nil"/>
            </w:tcBorders>
            <w:vAlign w:val="top"/>
          </w:tcPr>
          <w:p w14:paraId="1730456C">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2548" w:type="dxa"/>
            <w:vMerge w:val="restart"/>
            <w:tcBorders>
              <w:bottom w:val="nil"/>
            </w:tcBorders>
            <w:vAlign w:val="top"/>
          </w:tcPr>
          <w:p w14:paraId="1374BE1B">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2093" w:type="dxa"/>
            <w:vAlign w:val="top"/>
          </w:tcPr>
          <w:p w14:paraId="63C2BAD3">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595" w:type="dxa"/>
            <w:vAlign w:val="top"/>
          </w:tcPr>
          <w:p w14:paraId="25DEDEF4">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r>
      <w:tr w14:paraId="44D6F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41" w:type="dxa"/>
            <w:vMerge w:val="continue"/>
            <w:tcBorders>
              <w:top w:val="nil"/>
              <w:bottom w:val="nil"/>
            </w:tcBorders>
            <w:vAlign w:val="top"/>
          </w:tcPr>
          <w:p w14:paraId="4A32284F">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36" w:type="dxa"/>
            <w:vMerge w:val="continue"/>
            <w:tcBorders>
              <w:top w:val="nil"/>
              <w:bottom w:val="nil"/>
            </w:tcBorders>
            <w:vAlign w:val="top"/>
          </w:tcPr>
          <w:p w14:paraId="68159B03">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2548" w:type="dxa"/>
            <w:vMerge w:val="continue"/>
            <w:tcBorders>
              <w:top w:val="nil"/>
              <w:bottom w:val="nil"/>
            </w:tcBorders>
            <w:vAlign w:val="top"/>
          </w:tcPr>
          <w:p w14:paraId="1935C625">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2093" w:type="dxa"/>
            <w:vAlign w:val="top"/>
          </w:tcPr>
          <w:p w14:paraId="5BC81D55">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595" w:type="dxa"/>
            <w:vAlign w:val="top"/>
          </w:tcPr>
          <w:p w14:paraId="32096EE8">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r>
      <w:tr w14:paraId="6B668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41" w:type="dxa"/>
            <w:vMerge w:val="continue"/>
            <w:tcBorders>
              <w:top w:val="nil"/>
            </w:tcBorders>
            <w:vAlign w:val="top"/>
          </w:tcPr>
          <w:p w14:paraId="50A9B660">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436" w:type="dxa"/>
            <w:vMerge w:val="continue"/>
            <w:tcBorders>
              <w:top w:val="nil"/>
            </w:tcBorders>
            <w:vAlign w:val="top"/>
          </w:tcPr>
          <w:p w14:paraId="252E668B">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2548" w:type="dxa"/>
            <w:vMerge w:val="continue"/>
            <w:tcBorders>
              <w:top w:val="nil"/>
            </w:tcBorders>
            <w:vAlign w:val="top"/>
          </w:tcPr>
          <w:p w14:paraId="5F739BC6">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2093" w:type="dxa"/>
            <w:vAlign w:val="top"/>
          </w:tcPr>
          <w:p w14:paraId="6BF087E2">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c>
          <w:tcPr>
            <w:tcW w:w="1595" w:type="dxa"/>
            <w:vAlign w:val="top"/>
          </w:tcPr>
          <w:p w14:paraId="280FEFF6">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p>
        </w:tc>
      </w:tr>
    </w:tbl>
    <w:p w14:paraId="3E311855">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（四）教材及参考资料</w:t>
      </w:r>
    </w:p>
    <w:p w14:paraId="09A97CC3">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XXXXXXXXXX 正文 XXXXXXXXXX</w:t>
      </w:r>
    </w:p>
    <w:p w14:paraId="1B5CB76F">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（五）课程资源开发与利用</w:t>
      </w:r>
    </w:p>
    <w:p w14:paraId="2607E6D8">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XXXXXXXXXX 正文 XXXXXXXXXX</w:t>
      </w:r>
    </w:p>
    <w:p w14:paraId="2E6CEAF3">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八、其它说明</w:t>
      </w:r>
    </w:p>
    <w:p w14:paraId="3A0F151C">
      <w:pPr>
        <w:keepNext w:val="0"/>
        <w:keepLines w:val="0"/>
        <w:pageBreakBefore w:val="0"/>
        <w:widowControl/>
        <w:kinsoku/>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对以上不能涵盖的内容作必要的说明。</w:t>
      </w:r>
    </w:p>
    <w:p w14:paraId="2717F3EF">
      <w:pPr>
        <w:keepNext w:val="0"/>
        <w:keepLines w:val="0"/>
        <w:pageBreakBefore w:val="0"/>
        <w:numPr>
          <w:ilvl w:val="0"/>
          <w:numId w:val="0"/>
        </w:numPr>
        <w:kinsoku/>
        <w:wordWrap/>
        <w:overflowPunct/>
        <w:topLinePunct w:val="0"/>
        <w:bidi w:val="0"/>
        <w:spacing w:line="500" w:lineRule="exact"/>
        <w:ind w:firstLine="2209" w:firstLineChars="500"/>
        <w:jc w:val="both"/>
        <w:rPr>
          <w:rFonts w:hint="eastAsia" w:ascii="方正小标宋简体" w:hAnsi="方正小标宋简体" w:eastAsia="方正小标宋简体" w:cs="方正小标宋简体"/>
          <w:b/>
          <w:color w:val="auto"/>
          <w:sz w:val="44"/>
          <w:szCs w:val="44"/>
          <w:lang w:val="en-US" w:eastAsia="zh-CN"/>
        </w:rPr>
      </w:pPr>
    </w:p>
    <w:p w14:paraId="7AA02D88">
      <w:pPr>
        <w:keepNext w:val="0"/>
        <w:keepLines w:val="0"/>
        <w:pageBreakBefore w:val="0"/>
        <w:numPr>
          <w:ilvl w:val="0"/>
          <w:numId w:val="0"/>
        </w:numPr>
        <w:kinsoku/>
        <w:wordWrap/>
        <w:overflowPunct/>
        <w:topLinePunct w:val="0"/>
        <w:bidi w:val="0"/>
        <w:spacing w:line="500" w:lineRule="exact"/>
        <w:ind w:firstLine="1405" w:firstLineChars="500"/>
        <w:jc w:val="both"/>
        <w:rPr>
          <w:rFonts w:hint="eastAsia" w:ascii="宋体" w:hAnsi="宋体" w:cs="宋体"/>
          <w:b/>
          <w:sz w:val="28"/>
          <w:szCs w:val="28"/>
          <w:highlight w:val="none"/>
        </w:rPr>
      </w:pPr>
    </w:p>
    <w:p w14:paraId="3210A771">
      <w:pPr>
        <w:keepNext w:val="0"/>
        <w:keepLines w:val="0"/>
        <w:pageBreakBefore w:val="0"/>
        <w:numPr>
          <w:ilvl w:val="0"/>
          <w:numId w:val="0"/>
        </w:numPr>
        <w:kinsoku/>
        <w:wordWrap/>
        <w:overflowPunct/>
        <w:topLinePunct w:val="0"/>
        <w:bidi w:val="0"/>
        <w:spacing w:line="500" w:lineRule="exact"/>
        <w:ind w:firstLine="1405" w:firstLineChars="500"/>
        <w:jc w:val="both"/>
        <w:rPr>
          <w:rFonts w:hint="eastAsia" w:ascii="宋体" w:hAnsi="宋体" w:cs="宋体"/>
          <w:b/>
          <w:sz w:val="28"/>
          <w:szCs w:val="28"/>
          <w:highlight w:val="none"/>
        </w:rPr>
      </w:pPr>
    </w:p>
    <w:p w14:paraId="16EA3D4C">
      <w:pPr>
        <w:keepNext w:val="0"/>
        <w:keepLines w:val="0"/>
        <w:pageBreakBefore w:val="0"/>
        <w:numPr>
          <w:ilvl w:val="0"/>
          <w:numId w:val="0"/>
        </w:numPr>
        <w:kinsoku/>
        <w:wordWrap/>
        <w:overflowPunct/>
        <w:topLinePunct w:val="0"/>
        <w:bidi w:val="0"/>
        <w:spacing w:line="500" w:lineRule="exact"/>
        <w:ind w:firstLine="2200" w:firstLineChars="500"/>
        <w:jc w:val="both"/>
        <w:rPr>
          <w:rFonts w:hint="eastAsia" w:ascii="方正公文小标宋" w:hAnsi="方正公文小标宋" w:eastAsia="方正公文小标宋" w:cs="方正公文小标宋"/>
          <w:color w:val="0000FF"/>
          <w:sz w:val="44"/>
          <w:szCs w:val="44"/>
          <w:highlight w:val="none"/>
        </w:rPr>
      </w:pPr>
    </w:p>
    <w:p w14:paraId="192058B5">
      <w:pPr>
        <w:keepNext w:val="0"/>
        <w:keepLines w:val="0"/>
        <w:pageBreakBefore w:val="0"/>
        <w:numPr>
          <w:ilvl w:val="0"/>
          <w:numId w:val="0"/>
        </w:numPr>
        <w:kinsoku/>
        <w:wordWrap/>
        <w:overflowPunct/>
        <w:topLinePunct w:val="0"/>
        <w:bidi w:val="0"/>
        <w:spacing w:line="500" w:lineRule="exact"/>
        <w:ind w:firstLine="2209" w:firstLineChars="500"/>
        <w:jc w:val="both"/>
        <w:rPr>
          <w:rFonts w:hint="eastAsia" w:asciiTheme="majorEastAsia" w:hAnsiTheme="majorEastAsia" w:eastAsiaTheme="majorEastAsia" w:cstheme="majorEastAsia"/>
          <w:b/>
          <w:bCs/>
          <w:color w:val="000000" w:themeColor="text1"/>
          <w:kern w:val="2"/>
          <w:sz w:val="44"/>
          <w:szCs w:val="44"/>
          <w:lang w:val="en-US" w:eastAsia="zh-CN" w:bidi="ar-SA"/>
          <w14:textFill>
            <w14:solidFill>
              <w14:schemeClr w14:val="tx1"/>
            </w14:solidFill>
          </w14:textFill>
        </w:rPr>
      </w:pPr>
      <w:r>
        <w:rPr>
          <w:rFonts w:hint="eastAsia" w:asciiTheme="majorEastAsia" w:hAnsiTheme="majorEastAsia" w:eastAsiaTheme="majorEastAsia" w:cstheme="majorEastAsia"/>
          <w:b/>
          <w:bCs/>
          <w:color w:val="000000" w:themeColor="text1"/>
          <w:kern w:val="2"/>
          <w:sz w:val="44"/>
          <w:szCs w:val="44"/>
          <w:lang w:val="en-US" w:eastAsia="zh-CN" w:bidi="ar-SA"/>
          <w14:textFill>
            <w14:solidFill>
              <w14:schemeClr w14:val="tx1"/>
            </w14:solidFill>
          </w14:textFill>
        </w:rPr>
        <w:t>教务工作管理制度</w:t>
      </w:r>
    </w:p>
    <w:p w14:paraId="197F9720">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黑体" w:hAnsi="黑体" w:eastAsia="黑体"/>
          <w:sz w:val="32"/>
          <w:szCs w:val="32"/>
          <w:highlight w:val="none"/>
        </w:rPr>
      </w:pPr>
      <w:r>
        <w:rPr>
          <w:rFonts w:hint="eastAsia" w:ascii="黑体" w:hAnsi="黑体" w:eastAsia="黑体" w:cs="黑体"/>
          <w:b w:val="0"/>
          <w:bCs/>
          <w:color w:val="auto"/>
          <w:sz w:val="32"/>
          <w:szCs w:val="32"/>
          <w:highlight w:val="none"/>
          <w:lang w:val="en-US" w:eastAsia="zh-CN"/>
        </w:rPr>
        <w:t>一、</w:t>
      </w:r>
      <w:r>
        <w:rPr>
          <w:rFonts w:hint="eastAsia" w:ascii="黑体" w:hAnsi="黑体" w:eastAsia="黑体"/>
          <w:sz w:val="32"/>
          <w:szCs w:val="32"/>
          <w:highlight w:val="none"/>
        </w:rPr>
        <w:t>学期教学工作计划</w:t>
      </w:r>
    </w:p>
    <w:p w14:paraId="43CF3FD3">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宋体" w:hAnsi="宋体" w:cs="宋体"/>
          <w:sz w:val="28"/>
          <w:szCs w:val="28"/>
          <w:highlight w:val="none"/>
        </w:rPr>
      </w:pPr>
      <w:r>
        <w:rPr>
          <w:rFonts w:hint="eastAsia" w:ascii="仿宋_GB2312" w:hAnsi="仿宋_GB2312" w:eastAsia="仿宋_GB2312" w:cs="仿宋_GB2312"/>
          <w:sz w:val="32"/>
          <w:szCs w:val="32"/>
          <w:highlight w:val="none"/>
        </w:rPr>
        <w:t>教学工作计划是维护正常教学秩序，保证教学各环节顺利实施的重要组成部分。</w:t>
      </w:r>
    </w:p>
    <w:p w14:paraId="2DE0531E">
      <w:pPr>
        <w:keepNext w:val="0"/>
        <w:keepLines w:val="0"/>
        <w:pageBreakBefore w:val="0"/>
        <w:kinsoku/>
        <w:wordWrap/>
        <w:overflowPunct/>
        <w:topLinePunct w:val="0"/>
        <w:bidi w:val="0"/>
        <w:snapToGrid/>
        <w:spacing w:line="500" w:lineRule="exact"/>
        <w:ind w:left="640"/>
        <w:jc w:val="left"/>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highlight w:val="none"/>
        </w:rPr>
        <w:t>1.学期教学工作计划由教务科编制，编写前应首先明</w:t>
      </w:r>
    </w:p>
    <w:p w14:paraId="5AE01ABC">
      <w:pPr>
        <w:keepNext w:val="0"/>
        <w:keepLines w:val="0"/>
        <w:pageBreakBefore w:val="0"/>
        <w:kinsoku/>
        <w:wordWrap/>
        <w:overflowPunct/>
        <w:topLinePunct w:val="0"/>
        <w:bidi w:val="0"/>
        <w:snapToGrid/>
        <w:spacing w:line="500" w:lineRule="exact"/>
        <w:ind w:left="0"/>
        <w:jc w:val="left"/>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highlight w:val="none"/>
        </w:rPr>
        <w:t>确学校领导对教学工作的要求，并认真征求各教学部的意见，学期教学工作计划应经</w:t>
      </w:r>
      <w:r>
        <w:rPr>
          <w:rFonts w:hint="eastAsia" w:ascii="仿宋_GB2312" w:hAnsi="仿宋_GB2312" w:eastAsia="仿宋_GB2312" w:cs="仿宋_GB2312"/>
          <w:sz w:val="32"/>
          <w:szCs w:val="32"/>
          <w:shd w:val="clear" w:color="auto" w:fill="auto"/>
        </w:rPr>
        <w:t>分管校长批准，校办公会审议后执行。</w:t>
      </w:r>
    </w:p>
    <w:p w14:paraId="57C0B871">
      <w:pPr>
        <w:keepNext w:val="0"/>
        <w:keepLines w:val="0"/>
        <w:pageBreakBefore w:val="0"/>
        <w:pBdr>
          <w:bottom w:val="none" w:color="auto" w:sz="0" w:space="0"/>
        </w:pBdr>
        <w:kinsoku/>
        <w:wordWrap/>
        <w:overflowPunct/>
        <w:topLinePunct w:val="0"/>
        <w:bidi w:val="0"/>
        <w:snapToGrid/>
        <w:spacing w:line="500" w:lineRule="exact"/>
        <w:ind w:left="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2.学期教学工作计划根据各专业教学计划、学期的起止时间，结合学校实际情况拟定，每年6月和12月下达，于下个学期执行。</w:t>
      </w:r>
      <w:r>
        <w:rPr>
          <w:rFonts w:hint="eastAsia" w:ascii="仿宋_GB2312" w:hAnsi="仿宋_GB2312" w:eastAsia="仿宋_GB2312" w:cs="仿宋_GB2312"/>
          <w:sz w:val="32"/>
          <w:szCs w:val="32"/>
          <w:highlight w:val="none"/>
          <w:lang w:val="en-US" w:eastAsia="zh-CN"/>
        </w:rPr>
        <w:t xml:space="preserve"> </w:t>
      </w:r>
    </w:p>
    <w:p w14:paraId="35F71AA2">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宋体" w:hAnsi="宋体" w:cs="宋体"/>
          <w:sz w:val="28"/>
          <w:szCs w:val="28"/>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学期教学工作计划应包括</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确定开学时间、校历、各专业年级教学周数和时间分配。确定本学期教学工作任务，明确对各专业各门课程的要求。制定教师队伍建设、教学研究、教学改革、科学研究、教学与实习、物资保证等措施。</w:t>
      </w:r>
    </w:p>
    <w:p w14:paraId="72679313">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宋体" w:hAnsi="宋体" w:cs="宋体"/>
          <w:sz w:val="28"/>
          <w:szCs w:val="28"/>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各教学部应根据学期教学工作计划的要求，及时组织全体教师落实编好学期授课计划，做好教学工作，高质量地完成教学任务。</w:t>
      </w:r>
    </w:p>
    <w:p w14:paraId="203501F5">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二、</w:t>
      </w:r>
      <w:r>
        <w:rPr>
          <w:rFonts w:hint="eastAsia" w:ascii="黑体" w:hAnsi="黑体" w:eastAsia="黑体"/>
          <w:sz w:val="32"/>
          <w:szCs w:val="32"/>
          <w:highlight w:val="none"/>
        </w:rPr>
        <w:t>编排校历</w:t>
      </w:r>
    </w:p>
    <w:p w14:paraId="34802BE9">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根据专业教学计划，参照日历编制学年校历。</w:t>
      </w:r>
    </w:p>
    <w:p w14:paraId="488B9303">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确定一学年中两个学期的教学工作起止时间，及寒暑假时间。按周次日期排列、编排出各个年级专业的两个学期进度表。</w:t>
      </w:r>
    </w:p>
    <w:p w14:paraId="38BCD3BD">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表中不同内容应用不同的符号或文字表示，如新生入学教育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含军训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、理论课、</w:t>
      </w:r>
      <w:r>
        <w:rPr>
          <w:rFonts w:hint="eastAsia" w:ascii="仿宋_GB2312" w:hAnsi="仿宋_GB2312" w:eastAsia="仿宋_GB2312" w:cs="仿宋_GB2312"/>
          <w:sz w:val="32"/>
          <w:szCs w:val="32"/>
          <w:highlight w:val="none"/>
          <w:lang w:val="en-US" w:eastAsia="zh-CN"/>
        </w:rPr>
        <w:t>认识实习、岗位实习</w:t>
      </w:r>
      <w:r>
        <w:rPr>
          <w:rFonts w:hint="eastAsia" w:ascii="仿宋_GB2312" w:hAnsi="仿宋_GB2312" w:eastAsia="仿宋_GB2312" w:cs="仿宋_GB2312"/>
          <w:sz w:val="32"/>
          <w:szCs w:val="32"/>
          <w:highlight w:val="none"/>
        </w:rPr>
        <w:t>、考试、毕业教育、假期等。</w:t>
      </w:r>
    </w:p>
    <w:p w14:paraId="3F3D292B">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校历由教务科编制，经校长批准后执行。校历表应于暑假前一个月编制下发。</w:t>
      </w:r>
    </w:p>
    <w:p w14:paraId="680A35CE">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三、</w:t>
      </w:r>
      <w:r>
        <w:rPr>
          <w:rFonts w:hint="eastAsia" w:ascii="黑体" w:hAnsi="黑体" w:eastAsia="黑体"/>
          <w:sz w:val="32"/>
          <w:szCs w:val="32"/>
          <w:highlight w:val="none"/>
        </w:rPr>
        <w:t>学期教学进程表</w:t>
      </w:r>
    </w:p>
    <w:p w14:paraId="361E3355">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学期教学进程表根据专业教学计划和校历编制，对学期的教学工作进程做出具体时间安排。</w:t>
      </w:r>
    </w:p>
    <w:p w14:paraId="45509CCD">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学期教学进程表按学期、年级、专业排列，注明周次、日期、开设课程、总学时数、考试或考查等。</w:t>
      </w:r>
    </w:p>
    <w:p w14:paraId="02569049">
      <w:pPr>
        <w:keepNext w:val="0"/>
        <w:keepLines w:val="0"/>
        <w:pageBreakBefore w:val="0"/>
        <w:kinsoku/>
        <w:wordWrap/>
        <w:overflowPunct/>
        <w:topLinePunct w:val="0"/>
        <w:bidi w:val="0"/>
        <w:snapToGrid/>
        <w:spacing w:line="500" w:lineRule="exact"/>
        <w:ind w:left="0" w:firstLine="640" w:firstLineChars="200"/>
        <w:jc w:val="both"/>
        <w:textAlignment w:val="auto"/>
        <w:rPr>
          <w:rFonts w:ascii="宋体" w:hAnsi="宋体" w:cs="宋体"/>
          <w:b/>
          <w:sz w:val="28"/>
          <w:szCs w:val="28"/>
          <w:highlight w:val="none"/>
        </w:rPr>
      </w:pPr>
      <w:r>
        <w:rPr>
          <w:rFonts w:hint="eastAsia" w:ascii="楷体_GB2312" w:eastAsia="楷体_GB2312"/>
          <w:sz w:val="32"/>
          <w:szCs w:val="32"/>
          <w:highlight w:val="none"/>
          <w:lang w:val="en-US" w:eastAsia="zh-CN"/>
        </w:rPr>
        <w:t>3.</w:t>
      </w:r>
      <w:r>
        <w:rPr>
          <w:rFonts w:hint="eastAsia" w:ascii="仿宋_GB2312" w:hAnsi="仿宋_GB2312" w:eastAsia="仿宋_GB2312" w:cs="仿宋_GB2312"/>
          <w:sz w:val="32"/>
          <w:szCs w:val="32"/>
          <w:highlight w:val="none"/>
        </w:rPr>
        <w:t>学期教学进程表由教务科编制，</w:t>
      </w:r>
      <w:r>
        <w:rPr>
          <w:rFonts w:hint="eastAsia" w:ascii="仿宋_GB2312" w:hAnsi="仿宋_GB2312" w:eastAsia="仿宋_GB2312" w:cs="仿宋_GB2312"/>
          <w:sz w:val="32"/>
          <w:szCs w:val="32"/>
          <w:shd w:val="clear" w:color="auto" w:fill="auto"/>
        </w:rPr>
        <w:t>分管校长审核后</w:t>
      </w:r>
      <w:r>
        <w:rPr>
          <w:rFonts w:hint="eastAsia" w:ascii="仿宋_GB2312" w:hAnsi="仿宋_GB2312" w:eastAsia="仿宋_GB2312" w:cs="仿宋_GB2312"/>
          <w:sz w:val="32"/>
          <w:szCs w:val="32"/>
          <w:highlight w:val="none"/>
        </w:rPr>
        <w:t>批准执行，每学期教学进程表应于上学期结束前两周印发。</w:t>
      </w:r>
    </w:p>
    <w:p w14:paraId="35D4EECA">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四、</w:t>
      </w:r>
      <w:r>
        <w:rPr>
          <w:rFonts w:hint="eastAsia" w:ascii="黑体" w:hAnsi="黑体" w:eastAsia="黑体"/>
          <w:sz w:val="32"/>
          <w:szCs w:val="32"/>
          <w:highlight w:val="none"/>
        </w:rPr>
        <w:t>确定任课教师</w:t>
      </w:r>
    </w:p>
    <w:p w14:paraId="00174897">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楷体_GB2312" w:eastAsia="楷体_GB2312"/>
          <w:sz w:val="32"/>
          <w:szCs w:val="32"/>
          <w:highlight w:val="none"/>
          <w:lang w:val="en-US" w:eastAsia="zh-CN"/>
        </w:rPr>
        <w:t>1.</w:t>
      </w:r>
      <w:r>
        <w:rPr>
          <w:rFonts w:hint="eastAsia" w:ascii="仿宋_GB2312" w:hAnsi="仿宋_GB2312" w:eastAsia="仿宋_GB2312" w:cs="仿宋_GB2312"/>
          <w:sz w:val="32"/>
          <w:szCs w:val="32"/>
          <w:highlight w:val="none"/>
        </w:rPr>
        <w:t>根据教学任务和教师情况，合理安排任课教师，是保证教学质量的重要条件之一。</w:t>
      </w:r>
    </w:p>
    <w:p w14:paraId="232DAB56">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rPr>
        <w:t>1</w:t>
      </w:r>
      <w:r>
        <w:rPr>
          <w:rFonts w:hint="eastAsia" w:ascii="仿宋_GB2312" w:eastAsia="仿宋_GB2312"/>
          <w:sz w:val="32"/>
          <w:szCs w:val="32"/>
          <w:highlight w:val="none"/>
          <w:lang w:eastAsia="zh-CN"/>
        </w:rPr>
        <w:t>）</w:t>
      </w:r>
      <w:r>
        <w:rPr>
          <w:rFonts w:hint="eastAsia" w:ascii="仿宋_GB2312" w:hAnsi="仿宋_GB2312" w:eastAsia="仿宋_GB2312" w:cs="仿宋_GB2312"/>
          <w:sz w:val="32"/>
          <w:szCs w:val="32"/>
          <w:highlight w:val="none"/>
        </w:rPr>
        <w:t>各专业的主干课，要尽量安排教学经验丰富、教学效果好的教师任课。</w:t>
      </w:r>
    </w:p>
    <w:p w14:paraId="717785DE">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w:t>
      </w:r>
      <w:r>
        <w:rPr>
          <w:rFonts w:hint="eastAsia" w:ascii="仿宋_GB2312" w:hAnsi="仿宋_GB2312" w:eastAsia="仿宋_GB2312" w:cs="仿宋_GB2312"/>
          <w:sz w:val="32"/>
          <w:szCs w:val="32"/>
          <w:highlight w:val="none"/>
        </w:rPr>
        <w:t>按教师的自身特点，安排他们担任最能发挥其特长专业班级的课程。避免在教师无准备的情况下开设新课。</w:t>
      </w:r>
    </w:p>
    <w:p w14:paraId="35BBDA66">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3）</w:t>
      </w:r>
      <w:r>
        <w:rPr>
          <w:rFonts w:hint="eastAsia" w:ascii="仿宋_GB2312" w:hAnsi="仿宋_GB2312" w:eastAsia="仿宋_GB2312" w:cs="仿宋_GB2312"/>
          <w:sz w:val="32"/>
          <w:szCs w:val="32"/>
          <w:highlight w:val="none"/>
        </w:rPr>
        <w:t>把当前工作需要和培养提高教师结合起来，尽量保持任课教师的稳定性。注意新老结合，以老带新。</w:t>
      </w:r>
    </w:p>
    <w:p w14:paraId="4C89590A">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楷体_GB2312" w:eastAsia="楷体_GB2312"/>
          <w:sz w:val="32"/>
          <w:szCs w:val="32"/>
          <w:highlight w:val="none"/>
          <w:lang w:val="en-US" w:eastAsia="zh-CN"/>
        </w:rPr>
        <w:t>2.</w:t>
      </w:r>
      <w:r>
        <w:rPr>
          <w:rFonts w:hint="eastAsia" w:ascii="仿宋_GB2312" w:hAnsi="仿宋_GB2312" w:eastAsia="仿宋_GB2312" w:cs="仿宋_GB2312"/>
          <w:sz w:val="32"/>
          <w:szCs w:val="32"/>
          <w:highlight w:val="none"/>
        </w:rPr>
        <w:t>安排任课教师，应在每学期教学任务下达之后，由教研室提出任课教师安排意见，报教务科审查汇总，经分管校长批准后实施。</w:t>
      </w:r>
    </w:p>
    <w:p w14:paraId="0949614B">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五、编制课程表</w:t>
      </w:r>
    </w:p>
    <w:p w14:paraId="3130EECB">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楷体_GB2312" w:eastAsia="楷体_GB2312"/>
          <w:sz w:val="32"/>
          <w:szCs w:val="32"/>
          <w:highlight w:val="none"/>
          <w:lang w:val="en-US" w:eastAsia="zh-CN"/>
        </w:rPr>
        <w:t>1.</w:t>
      </w:r>
      <w:r>
        <w:rPr>
          <w:rFonts w:hint="eastAsia" w:ascii="仿宋_GB2312" w:hAnsi="仿宋_GB2312" w:eastAsia="仿宋_GB2312" w:cs="仿宋_GB2312"/>
          <w:sz w:val="32"/>
          <w:szCs w:val="32"/>
          <w:highlight w:val="none"/>
        </w:rPr>
        <w:t>课程表根据学期教学进程表和教师任课名单编制，是组织实施教学工作的具体安排，对维护教学秩序，保证教学工作正常运行至关重要。教务科应认真编制。</w:t>
      </w:r>
    </w:p>
    <w:p w14:paraId="00906C5A">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楷体_GB2312" w:eastAsia="楷体_GB2312"/>
          <w:sz w:val="32"/>
          <w:szCs w:val="32"/>
          <w:highlight w:val="none"/>
          <w:lang w:val="en-US" w:eastAsia="zh-CN"/>
        </w:rPr>
        <w:t>2.</w:t>
      </w:r>
      <w:r>
        <w:rPr>
          <w:rFonts w:hint="eastAsia" w:ascii="仿宋_GB2312" w:hAnsi="仿宋_GB2312" w:eastAsia="仿宋_GB2312" w:cs="仿宋_GB2312"/>
          <w:sz w:val="32"/>
          <w:szCs w:val="32"/>
          <w:highlight w:val="none"/>
        </w:rPr>
        <w:t>课程表应对各专业班级课程及任课教师做合理的组织安排。编制课程表应遵循教学规律和教学原则，应有利于教师备课授课，有利于学生提高学习效率，有利于充分发挥教学资源的作用，对考试课、考查课、正课与自习、新课与重复课、课程间隔时间、实验室及合堂教室使用等，都应全面考虑、统筹兼顾。</w:t>
      </w:r>
    </w:p>
    <w:p w14:paraId="00FA0C59">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宋体" w:hAnsi="宋体" w:cs="宋体"/>
          <w:sz w:val="28"/>
          <w:szCs w:val="28"/>
          <w:highlight w:val="none"/>
        </w:rPr>
      </w:pPr>
      <w:r>
        <w:rPr>
          <w:rFonts w:hint="eastAsia" w:ascii="楷体_GB2312" w:eastAsia="楷体_GB2312"/>
          <w:sz w:val="32"/>
          <w:szCs w:val="32"/>
          <w:highlight w:val="none"/>
          <w:lang w:val="en-US" w:eastAsia="zh-CN"/>
        </w:rPr>
        <w:t>3.</w:t>
      </w:r>
      <w:r>
        <w:rPr>
          <w:rFonts w:hint="eastAsia" w:ascii="仿宋_GB2312" w:hAnsi="仿宋_GB2312" w:eastAsia="仿宋_GB2312" w:cs="仿宋_GB2312"/>
          <w:sz w:val="32"/>
          <w:szCs w:val="32"/>
          <w:highlight w:val="none"/>
        </w:rPr>
        <w:t>课程表由教务科编排，经征求各教研室意见调整后，由分管校长审定。教务科应编制学期总课表、班级课程表和任课教师课表，于开学前一周分送校领导、各有关科室、各教学班、任课教师和班主任。</w:t>
      </w:r>
    </w:p>
    <w:p w14:paraId="1D069CA7">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六、调  课</w:t>
      </w:r>
    </w:p>
    <w:p w14:paraId="13D3D4AC">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楷体_GB2312" w:eastAsia="楷体_GB2312"/>
          <w:sz w:val="32"/>
          <w:szCs w:val="32"/>
          <w:highlight w:val="none"/>
          <w:lang w:val="en-US" w:eastAsia="zh-CN"/>
        </w:rPr>
        <w:t>1.</w:t>
      </w:r>
      <w:r>
        <w:rPr>
          <w:rFonts w:hint="eastAsia" w:ascii="仿宋_GB2312" w:hAnsi="仿宋_GB2312" w:eastAsia="仿宋_GB2312" w:cs="仿宋_GB2312"/>
          <w:sz w:val="32"/>
          <w:szCs w:val="32"/>
          <w:highlight w:val="none"/>
        </w:rPr>
        <w:t>教师因公、因病、因事不能按课程表规定时间上课，可申请调课。</w:t>
      </w:r>
    </w:p>
    <w:p w14:paraId="480E7638">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eastAsia="楷体_GB2312"/>
          <w:sz w:val="32"/>
          <w:szCs w:val="32"/>
          <w:highlight w:val="none"/>
          <w:lang w:val="en-US" w:eastAsia="zh-CN"/>
        </w:rPr>
        <w:t>2.</w:t>
      </w:r>
      <w:r>
        <w:rPr>
          <w:rFonts w:hint="eastAsia" w:ascii="仿宋_GB2312" w:hAnsi="仿宋_GB2312" w:eastAsia="仿宋_GB2312" w:cs="仿宋_GB2312"/>
          <w:sz w:val="32"/>
          <w:szCs w:val="32"/>
          <w:highlight w:val="none"/>
        </w:rPr>
        <w:t>教师一次调课在两次以上（包括两次）须先到人事科办理请假手续，然后持</w:t>
      </w:r>
      <w:r>
        <w:rPr>
          <w:rFonts w:hint="eastAsia" w:ascii="仿宋_GB2312" w:hAnsi="仿宋_GB2312" w:eastAsia="仿宋_GB2312" w:cs="仿宋_GB2312"/>
          <w:color w:val="000000" w:themeColor="text1"/>
          <w:sz w:val="32"/>
          <w:szCs w:val="32"/>
          <w:highlight w:val="none"/>
          <w14:textFill>
            <w14:solidFill>
              <w14:schemeClr w14:val="tx1"/>
            </w14:solidFill>
          </w14:textFill>
        </w:rPr>
        <w:t>假条到教务科办理调课手续。</w:t>
      </w:r>
    </w:p>
    <w:p w14:paraId="06E0173F">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楷体_GB2312" w:eastAsia="楷体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教师调课应于办妥请假手续后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在授课前两天，由教师本人</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在线上或者线下提出申请，教研室主任同意，教务科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负责人</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批准。如教师因突发事件不能亲自办理，可由其他教师代办，调课教师应及时通知相关班级，调课后按时补课。</w:t>
      </w:r>
    </w:p>
    <w:p w14:paraId="7DF08BA5">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七、教学日志</w:t>
      </w:r>
    </w:p>
    <w:p w14:paraId="407D4482">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eastAsia="楷体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各个班级均设置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教学</w:t>
      </w:r>
      <w:r>
        <w:rPr>
          <w:rFonts w:hint="eastAsia" w:ascii="仿宋_GB2312" w:hAnsi="仿宋_GB2312" w:eastAsia="仿宋_GB2312" w:cs="仿宋_GB2312"/>
          <w:color w:val="000000" w:themeColor="text1"/>
          <w:sz w:val="32"/>
          <w:szCs w:val="32"/>
          <w:highlight w:val="none"/>
          <w14:textFill>
            <w14:solidFill>
              <w14:schemeClr w14:val="tx1"/>
            </w14:solidFill>
          </w14:textFill>
        </w:rPr>
        <w:t>日志，记录各班级的教学情况，教务科应加强对其管理。</w:t>
      </w:r>
    </w:p>
    <w:p w14:paraId="31EC22D8">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eastAsia="楷体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教学</w:t>
      </w:r>
      <w:r>
        <w:rPr>
          <w:rFonts w:hint="eastAsia" w:ascii="仿宋_GB2312" w:hAnsi="仿宋_GB2312" w:eastAsia="仿宋_GB2312" w:cs="仿宋_GB2312"/>
          <w:color w:val="000000" w:themeColor="text1"/>
          <w:sz w:val="32"/>
          <w:szCs w:val="32"/>
          <w:highlight w:val="none"/>
          <w14:textFill>
            <w14:solidFill>
              <w14:schemeClr w14:val="tx1"/>
            </w14:solidFill>
          </w14:textFill>
        </w:rPr>
        <w:t>日志包括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每次课的时间、内容、考勤及教师签名等。</w:t>
      </w:r>
    </w:p>
    <w:p w14:paraId="6A55DD29">
      <w:pPr>
        <w:keepNext w:val="0"/>
        <w:keepLines w:val="0"/>
        <w:pageBreakBefore w:val="0"/>
        <w:kinsoku/>
        <w:wordWrap/>
        <w:overflowPunct/>
        <w:topLinePunct w:val="0"/>
        <w:bidi w:val="0"/>
        <w:snapToGrid/>
        <w:spacing w:line="500" w:lineRule="exact"/>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eastAsia="楷体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教师每次上课认真填写教学日志。教务科根据教学日志的记录，定期检查学期授课计划执行情况和学生考勤情况，将检查汇总表分送校领导、教研室和学生科，并研究解决所存在的问题。</w:t>
      </w:r>
    </w:p>
    <w:p w14:paraId="4A88C78E">
      <w:pPr>
        <w:keepNext w:val="0"/>
        <w:keepLines w:val="0"/>
        <w:pageBreakBefore w:val="0"/>
        <w:numPr>
          <w:ilvl w:val="0"/>
          <w:numId w:val="0"/>
        </w:numPr>
        <w:kinsoku/>
        <w:wordWrap/>
        <w:overflowPunct/>
        <w:topLinePunct w:val="0"/>
        <w:bidi w:val="0"/>
        <w:spacing w:line="500" w:lineRule="exact"/>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eastAsia="楷体_GB2312"/>
          <w:color w:val="000000" w:themeColor="text1"/>
          <w:sz w:val="32"/>
          <w:szCs w:val="32"/>
          <w:highlight w:val="none"/>
          <w:lang w:val="en-US" w:eastAsia="zh-CN"/>
          <w14:textFill>
            <w14:solidFill>
              <w14:schemeClr w14:val="tx1"/>
            </w14:solidFill>
          </w14:textFill>
        </w:rPr>
        <w:t xml:space="preserve">    4.</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教务科于学期结束时将教学日志存档。</w:t>
      </w:r>
    </w:p>
    <w:p w14:paraId="103AC864">
      <w:pPr>
        <w:keepNext w:val="0"/>
        <w:keepLines w:val="0"/>
        <w:pageBreakBefore w:val="0"/>
        <w:numPr>
          <w:ilvl w:val="0"/>
          <w:numId w:val="0"/>
        </w:numPr>
        <w:kinsoku/>
        <w:wordWrap/>
        <w:overflowPunct/>
        <w:topLinePunct w:val="0"/>
        <w:bidi w:val="0"/>
        <w:spacing w:line="500" w:lineRule="exact"/>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14:paraId="6913F055">
      <w:pPr>
        <w:keepNext w:val="0"/>
        <w:keepLines w:val="0"/>
        <w:pageBreakBefore w:val="0"/>
        <w:numPr>
          <w:ilvl w:val="0"/>
          <w:numId w:val="0"/>
        </w:numPr>
        <w:kinsoku/>
        <w:wordWrap/>
        <w:overflowPunct/>
        <w:topLinePunct w:val="0"/>
        <w:bidi w:val="0"/>
        <w:spacing w:line="500" w:lineRule="exact"/>
        <w:jc w:val="center"/>
        <w:rPr>
          <w:rFonts w:hint="eastAsia" w:ascii="方正公文小标宋" w:hAnsi="方正公文小标宋" w:eastAsia="方正公文小标宋" w:cs="方正公文小标宋"/>
          <w:sz w:val="44"/>
          <w:szCs w:val="44"/>
          <w:highlight w:val="none"/>
        </w:rPr>
      </w:pPr>
    </w:p>
    <w:p w14:paraId="30AABBC1">
      <w:pPr>
        <w:keepNext w:val="0"/>
        <w:keepLines w:val="0"/>
        <w:pageBreakBefore w:val="0"/>
        <w:numPr>
          <w:ilvl w:val="0"/>
          <w:numId w:val="0"/>
        </w:numPr>
        <w:kinsoku/>
        <w:wordWrap/>
        <w:overflowPunct/>
        <w:topLinePunct w:val="0"/>
        <w:bidi w:val="0"/>
        <w:spacing w:line="500" w:lineRule="exact"/>
        <w:jc w:val="center"/>
        <w:rPr>
          <w:rFonts w:hint="eastAsia" w:asciiTheme="majorEastAsia" w:hAnsiTheme="majorEastAsia" w:eastAsiaTheme="majorEastAsia" w:cstheme="majorEastAsia"/>
          <w:b/>
          <w:bCs/>
          <w:color w:val="000000" w:themeColor="text1"/>
          <w:kern w:val="2"/>
          <w:sz w:val="44"/>
          <w:szCs w:val="44"/>
          <w:lang w:val="en-US" w:eastAsia="zh-CN" w:bidi="ar-SA"/>
          <w14:textFill>
            <w14:solidFill>
              <w14:schemeClr w14:val="tx1"/>
            </w14:solidFill>
          </w14:textFill>
        </w:rPr>
      </w:pPr>
      <w:r>
        <w:rPr>
          <w:rFonts w:hint="eastAsia" w:asciiTheme="majorEastAsia" w:hAnsiTheme="majorEastAsia" w:eastAsiaTheme="majorEastAsia" w:cstheme="majorEastAsia"/>
          <w:b/>
          <w:bCs/>
          <w:color w:val="000000" w:themeColor="text1"/>
          <w:kern w:val="2"/>
          <w:sz w:val="44"/>
          <w:szCs w:val="44"/>
          <w:lang w:val="en-US" w:eastAsia="zh-CN" w:bidi="ar-SA"/>
          <w14:textFill>
            <w14:solidFill>
              <w14:schemeClr w14:val="tx1"/>
            </w14:solidFill>
          </w14:textFill>
        </w:rPr>
        <w:t>教师课堂教学管理制度</w:t>
      </w:r>
    </w:p>
    <w:p w14:paraId="12A677BB">
      <w:pPr>
        <w:keepNext w:val="0"/>
        <w:keepLines w:val="0"/>
        <w:pageBreakBefore w:val="0"/>
        <w:kinsoku/>
        <w:wordWrap/>
        <w:overflowPunct/>
        <w:topLinePunct w:val="0"/>
        <w:bidi w:val="0"/>
        <w:spacing w:line="50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一、备课</w:t>
      </w:r>
    </w:p>
    <w:p w14:paraId="3525435B">
      <w:pPr>
        <w:keepNext w:val="0"/>
        <w:keepLines w:val="0"/>
        <w:pageBreakBefore w:val="0"/>
        <w:kinsoku/>
        <w:wordWrap/>
        <w:overflowPunct/>
        <w:topLinePunct w:val="0"/>
        <w:bidi w:val="0"/>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1.教师备课应深入钻研教材，确定教学目标，熟悉相关课程的教学内容；掌握学生情况，增强教学针对性；认真选择教学方法，精心设计教学程序，充分准备教学资源。</w:t>
      </w:r>
    </w:p>
    <w:p w14:paraId="1C3197EE">
      <w:pPr>
        <w:keepNext w:val="0"/>
        <w:keepLines w:val="0"/>
        <w:pageBreakBefore w:val="0"/>
        <w:kinsoku/>
        <w:wordWrap/>
        <w:overflowPunct/>
        <w:topLinePunct w:val="0"/>
        <w:bidi w:val="0"/>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2.书写教案是对每次课的具体设计。任课教师应依据学期教学计划，结合教材和其他教学资源编写教案，保证上好每堂课。</w:t>
      </w:r>
    </w:p>
    <w:p w14:paraId="482CC6DF">
      <w:pPr>
        <w:keepNext w:val="0"/>
        <w:keepLines w:val="0"/>
        <w:pageBreakBefore w:val="0"/>
        <w:kinsoku/>
        <w:wordWrap/>
        <w:overflowPunct/>
        <w:topLinePunct w:val="0"/>
        <w:bidi w:val="0"/>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3.在教师个人备课的基础上，教研室应组织同门课教师定期开展集体备课。集体备课的主要内容讨论制定学期教学计划，处理教材的重点难点，总结交流教学经验等。</w:t>
      </w:r>
    </w:p>
    <w:p w14:paraId="5B3224DE">
      <w:pPr>
        <w:keepNext w:val="0"/>
        <w:keepLines w:val="0"/>
        <w:pageBreakBefore w:val="0"/>
        <w:kinsoku/>
        <w:wordWrap/>
        <w:overflowPunct/>
        <w:topLinePunct w:val="0"/>
        <w:bidi w:val="0"/>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4.教师应提前两周备课，以保证课前有充分准备。担任重复课的教师应根据教学对象的变化及时调整教学方法。</w:t>
      </w:r>
    </w:p>
    <w:p w14:paraId="28944C38">
      <w:pPr>
        <w:keepNext w:val="0"/>
        <w:keepLines w:val="0"/>
        <w:pageBreakBefore w:val="0"/>
        <w:kinsoku/>
        <w:wordWrap/>
        <w:overflowPunct/>
        <w:topLinePunct w:val="0"/>
        <w:bidi w:val="0"/>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5.教学部、教研室主任应每月检查教师备课情况，定期对教师的备课进行讲评。分管校长、教务科长应有计划地参加集体备课，每学期至少两次抽阅教师的教案。</w:t>
      </w:r>
    </w:p>
    <w:p w14:paraId="4E628699">
      <w:pPr>
        <w:keepNext w:val="0"/>
        <w:keepLines w:val="0"/>
        <w:pageBreakBefore w:val="0"/>
        <w:kinsoku/>
        <w:wordWrap/>
        <w:overflowPunct/>
        <w:topLinePunct w:val="0"/>
        <w:bidi w:val="0"/>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6.教案内容</w:t>
      </w:r>
    </w:p>
    <w:p w14:paraId="38C42EFB">
      <w:pPr>
        <w:keepNext w:val="0"/>
        <w:keepLines w:val="0"/>
        <w:pageBreakBefore w:val="0"/>
        <w:kinsoku/>
        <w:wordWrap/>
        <w:overflowPunct/>
        <w:topLinePunct w:val="0"/>
        <w:bidi w:val="0"/>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填写教案首页；课程名称、</w:t>
      </w:r>
      <w:r>
        <w:rPr>
          <w:rFonts w:hint="eastAsia" w:ascii="仿宋_GB2312" w:hAnsi="宋体" w:eastAsia="仿宋_GB2312" w:cs="宋体"/>
          <w:kern w:val="0"/>
          <w:sz w:val="32"/>
          <w:szCs w:val="32"/>
        </w:rPr>
        <w:t>教学内容、专业班级、任课教师、学时、课次、上课时间、教学分析、教学目标、教学重点难点、教学策略和教学资源等</w:t>
      </w:r>
      <w:r>
        <w:rPr>
          <w:rFonts w:hint="eastAsia" w:ascii="仿宋_GB2312" w:hAnsi="宋体" w:eastAsia="仿宋_GB2312" w:cs="宋体"/>
          <w:sz w:val="32"/>
          <w:szCs w:val="32"/>
        </w:rPr>
        <w:t>。</w:t>
      </w:r>
    </w:p>
    <w:p w14:paraId="58251886">
      <w:pPr>
        <w:keepNext w:val="0"/>
        <w:keepLines w:val="0"/>
        <w:pageBreakBefore w:val="0"/>
        <w:widowControl/>
        <w:kinsoku/>
        <w:wordWrap/>
        <w:overflowPunct/>
        <w:topLinePunct w:val="0"/>
        <w:autoSpaceDE w:val="0"/>
        <w:autoSpaceDN w:val="0"/>
        <w:bidi w:val="0"/>
        <w:adjustRightInd w:val="0"/>
        <w:spacing w:line="500" w:lineRule="exact"/>
        <w:ind w:left="532"/>
        <w:rPr>
          <w:rFonts w:hint="eastAsia" w:ascii="仿宋_GB2312" w:hAnsi="宋体" w:eastAsia="仿宋_GB2312" w:cs="宋体"/>
          <w:sz w:val="32"/>
          <w:szCs w:val="32"/>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2</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教案附页</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书写教学内容</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含回顾目标即小结</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，教学</w:t>
      </w:r>
      <w:r>
        <w:rPr>
          <w:rFonts w:hint="eastAsia" w:ascii="仿宋_GB2312" w:hAnsi="宋体" w:eastAsia="仿宋_GB2312" w:cs="宋体"/>
          <w:kern w:val="0"/>
          <w:sz w:val="32"/>
          <w:szCs w:val="32"/>
        </w:rPr>
        <w:t>过程，包括教学环节，教学</w:t>
      </w:r>
      <w:r>
        <w:rPr>
          <w:rFonts w:hint="eastAsia" w:ascii="仿宋_GB2312" w:hAnsi="宋体" w:eastAsia="仿宋_GB2312" w:cs="宋体"/>
          <w:sz w:val="32"/>
          <w:szCs w:val="32"/>
        </w:rPr>
        <w:t>活动，</w:t>
      </w:r>
      <w:r>
        <w:rPr>
          <w:rFonts w:hint="eastAsia" w:ascii="仿宋_GB2312" w:hAnsi="宋体" w:eastAsia="仿宋_GB2312" w:cs="宋体"/>
          <w:kern w:val="0"/>
          <w:sz w:val="32"/>
          <w:szCs w:val="32"/>
        </w:rPr>
        <w:t>学生活动，设计意图，教学反思，</w:t>
      </w:r>
      <w:r>
        <w:rPr>
          <w:rFonts w:hint="eastAsia" w:ascii="仿宋_GB2312" w:hAnsi="宋体" w:eastAsia="仿宋_GB2312" w:cs="宋体"/>
          <w:sz w:val="32"/>
          <w:szCs w:val="32"/>
        </w:rPr>
        <w:t>时间分配等。</w:t>
      </w:r>
    </w:p>
    <w:p w14:paraId="14793BD0">
      <w:pPr>
        <w:keepNext w:val="0"/>
        <w:keepLines w:val="0"/>
        <w:pageBreakBefore w:val="0"/>
        <w:kinsoku/>
        <w:wordWrap/>
        <w:overflowPunct/>
        <w:topLinePunct w:val="0"/>
        <w:bidi w:val="0"/>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7.教案书写的基本要求</w:t>
      </w:r>
    </w:p>
    <w:p w14:paraId="567C289F">
      <w:pPr>
        <w:keepNext w:val="0"/>
        <w:keepLines w:val="0"/>
        <w:pageBreakBefore w:val="0"/>
        <w:kinsoku/>
        <w:wordWrap/>
        <w:overflowPunct/>
        <w:topLinePunct w:val="0"/>
        <w:bidi w:val="0"/>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现代教学要求教案科学准确地体现教学思想，教学程序设计、教法设计、学法指导、时间分配、目标要求等内容，并记载详细、可操作性强，是集科学性与实用性为一体的教学蓝本。</w:t>
      </w:r>
    </w:p>
    <w:p w14:paraId="1CCBEE54">
      <w:pPr>
        <w:keepNext w:val="0"/>
        <w:keepLines w:val="0"/>
        <w:pageBreakBefore w:val="0"/>
        <w:widowControl/>
        <w:shd w:val="clear" w:color="auto" w:fill="FFFFFF"/>
        <w:kinsoku/>
        <w:wordWrap/>
        <w:overflowPunct/>
        <w:topLinePunct w:val="0"/>
        <w:bidi w:val="0"/>
        <w:spacing w:before="150" w:after="150" w:line="50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w:t>
      </w:r>
      <w:r>
        <w:rPr>
          <w:rFonts w:hint="eastAsia" w:ascii="仿宋_GB2312" w:hAnsi="宋体" w:eastAsia="仿宋_GB2312" w:cs="宋体"/>
          <w:kern w:val="0"/>
          <w:sz w:val="32"/>
          <w:szCs w:val="32"/>
          <w:shd w:val="clear" w:color="auto" w:fill="FFFFFF"/>
          <w:lang w:val="en-US" w:eastAsia="zh-CN" w:bidi="ar-SA"/>
        </w:rPr>
        <w:t>教学分析：包括教材分析和学情分析。教材分析关系到</w:t>
      </w:r>
      <w:r>
        <w:rPr>
          <w:rFonts w:hint="eastAsia" w:ascii="宋体" w:hAnsi="宋体" w:eastAsia="仿宋" w:cs="仿宋"/>
          <w:kern w:val="0"/>
          <w:sz w:val="24"/>
          <w:szCs w:val="24"/>
          <w:lang w:val="en-US" w:eastAsia="zh-CN" w:bidi="ar-SA"/>
        </w:rPr>
        <w:fldChar w:fldCharType="begin"/>
      </w:r>
      <w:r>
        <w:rPr>
          <w:rFonts w:hint="eastAsia" w:ascii="宋体" w:hAnsi="宋体" w:eastAsia="仿宋" w:cs="仿宋"/>
          <w:kern w:val="0"/>
          <w:sz w:val="24"/>
          <w:szCs w:val="24"/>
          <w:lang w:val="en-US" w:eastAsia="zh-CN" w:bidi="ar-SA"/>
        </w:rPr>
        <w:instrText xml:space="preserve"> HYPERLINK "http://www.so.com/s?q=%E8%AF%BE%E7%A8%8B%E8%AE%BE%E8%AE%A1&amp;ie=utf-8&amp;src=internal_wenda_recommend_textn" \t "https://wenda.so.com/q/_blank" </w:instrText>
      </w:r>
      <w:r>
        <w:rPr>
          <w:rFonts w:hint="eastAsia" w:ascii="宋体" w:hAnsi="宋体" w:eastAsia="仿宋" w:cs="仿宋"/>
          <w:kern w:val="0"/>
          <w:sz w:val="24"/>
          <w:szCs w:val="24"/>
          <w:lang w:val="en-US" w:eastAsia="zh-CN" w:bidi="ar-SA"/>
        </w:rPr>
        <w:fldChar w:fldCharType="separate"/>
      </w:r>
      <w:r>
        <w:rPr>
          <w:rStyle w:val="9"/>
          <w:rFonts w:hint="eastAsia" w:ascii="仿宋_GB2312" w:hAnsi="Calibri" w:eastAsia="仿宋_GB2312" w:cs="宋体"/>
          <w:color w:val="000000" w:themeColor="text1"/>
          <w:kern w:val="2"/>
          <w:sz w:val="32"/>
          <w:szCs w:val="32"/>
          <w:u w:val="none"/>
          <w:shd w:val="clear" w:color="auto" w:fill="FFFFFF"/>
          <w:lang w:val="en-US" w:eastAsia="zh-CN" w:bidi="ar-SA"/>
          <w14:textFill>
            <w14:solidFill>
              <w14:schemeClr w14:val="tx1"/>
            </w14:solidFill>
          </w14:textFill>
        </w:rPr>
        <w:t>课程设计</w:t>
      </w:r>
      <w:r>
        <w:rPr>
          <w:rStyle w:val="9"/>
          <w:rFonts w:hint="eastAsia" w:ascii="仿宋_GB2312" w:hAnsi="Calibri" w:eastAsia="仿宋_GB2312" w:cs="宋体"/>
          <w:color w:val="000000" w:themeColor="text1"/>
          <w:kern w:val="2"/>
          <w:sz w:val="32"/>
          <w:szCs w:val="32"/>
          <w:u w:val="none"/>
          <w:shd w:val="clear" w:color="auto" w:fill="FFFFFF"/>
          <w:lang w:val="en-US" w:eastAsia="zh-CN" w:bidi="ar-SA"/>
          <w14:textFill>
            <w14:solidFill>
              <w14:schemeClr w14:val="tx1"/>
            </w14:solidFill>
          </w14:textFill>
        </w:rPr>
        <w:fldChar w:fldCharType="end"/>
      </w:r>
      <w:r>
        <w:rPr>
          <w:rFonts w:hint="eastAsia" w:ascii="仿宋_GB2312" w:hAnsi="宋体" w:eastAsia="仿宋_GB2312" w:cs="宋体"/>
          <w:color w:val="000000" w:themeColor="text1"/>
          <w:kern w:val="0"/>
          <w:sz w:val="32"/>
          <w:szCs w:val="32"/>
          <w:shd w:val="clear" w:color="auto" w:fill="FFFFFF"/>
          <w:lang w:val="en-US" w:eastAsia="zh-CN" w:bidi="ar-SA"/>
          <w14:textFill>
            <w14:solidFill>
              <w14:schemeClr w14:val="tx1"/>
            </w14:solidFill>
          </w14:textFill>
        </w:rPr>
        <w:t>、</w:t>
      </w:r>
      <w:r>
        <w:rPr>
          <w:rFonts w:hint="eastAsia" w:ascii="宋体" w:hAnsi="宋体" w:eastAsia="仿宋" w:cs="仿宋"/>
          <w:kern w:val="0"/>
          <w:sz w:val="24"/>
          <w:szCs w:val="24"/>
          <w:lang w:val="en-US" w:eastAsia="zh-CN" w:bidi="ar-SA"/>
        </w:rPr>
        <w:fldChar w:fldCharType="begin"/>
      </w:r>
      <w:r>
        <w:rPr>
          <w:rFonts w:hint="eastAsia" w:ascii="宋体" w:hAnsi="宋体" w:eastAsia="仿宋" w:cs="仿宋"/>
          <w:kern w:val="0"/>
          <w:sz w:val="24"/>
          <w:szCs w:val="24"/>
          <w:lang w:val="en-US" w:eastAsia="zh-CN" w:bidi="ar-SA"/>
        </w:rPr>
        <w:instrText xml:space="preserve"> HYPERLINK "http://www.so.com/s?q=%E8%AF%BE%E7%A8%8B%E7%BB%84%E7%BB%87&amp;ie=utf-8&amp;src=internal_wenda_recommend_textn" \t "https://wenda.so.com/q/_blank" </w:instrText>
      </w:r>
      <w:r>
        <w:rPr>
          <w:rFonts w:hint="eastAsia" w:ascii="宋体" w:hAnsi="宋体" w:eastAsia="仿宋" w:cs="仿宋"/>
          <w:kern w:val="0"/>
          <w:sz w:val="24"/>
          <w:szCs w:val="24"/>
          <w:lang w:val="en-US" w:eastAsia="zh-CN" w:bidi="ar-SA"/>
        </w:rPr>
        <w:fldChar w:fldCharType="separate"/>
      </w:r>
      <w:r>
        <w:rPr>
          <w:rStyle w:val="9"/>
          <w:rFonts w:hint="eastAsia" w:ascii="仿宋_GB2312" w:hAnsi="Calibri" w:eastAsia="仿宋_GB2312" w:cs="宋体"/>
          <w:color w:val="000000" w:themeColor="text1"/>
          <w:kern w:val="2"/>
          <w:sz w:val="32"/>
          <w:szCs w:val="32"/>
          <w:u w:val="none"/>
          <w:shd w:val="clear" w:color="auto" w:fill="FFFFFF"/>
          <w:lang w:val="en-US" w:eastAsia="zh-CN" w:bidi="ar-SA"/>
          <w14:textFill>
            <w14:solidFill>
              <w14:schemeClr w14:val="tx1"/>
            </w14:solidFill>
          </w14:textFill>
        </w:rPr>
        <w:t>课程组织</w:t>
      </w:r>
      <w:r>
        <w:rPr>
          <w:rStyle w:val="9"/>
          <w:rFonts w:hint="eastAsia" w:ascii="仿宋_GB2312" w:hAnsi="Calibri" w:eastAsia="仿宋_GB2312" w:cs="宋体"/>
          <w:color w:val="000000" w:themeColor="text1"/>
          <w:kern w:val="2"/>
          <w:sz w:val="32"/>
          <w:szCs w:val="32"/>
          <w:u w:val="none"/>
          <w:shd w:val="clear" w:color="auto" w:fill="FFFFFF"/>
          <w:lang w:val="en-US" w:eastAsia="zh-CN" w:bidi="ar-SA"/>
          <w14:textFill>
            <w14:solidFill>
              <w14:schemeClr w14:val="tx1"/>
            </w14:solidFill>
          </w14:textFill>
        </w:rPr>
        <w:fldChar w:fldCharType="end"/>
      </w:r>
      <w:r>
        <w:rPr>
          <w:rFonts w:hint="eastAsia" w:ascii="仿宋_GB2312" w:hAnsi="宋体" w:eastAsia="仿宋_GB2312" w:cs="宋体"/>
          <w:color w:val="000000" w:themeColor="text1"/>
          <w:kern w:val="0"/>
          <w:sz w:val="32"/>
          <w:szCs w:val="32"/>
          <w:shd w:val="clear" w:color="auto" w:fill="FFFFFF"/>
          <w:lang w:val="en-US" w:eastAsia="zh-CN" w:bidi="ar-SA"/>
          <w14:textFill>
            <w14:solidFill>
              <w14:schemeClr w14:val="tx1"/>
            </w14:solidFill>
          </w14:textFill>
        </w:rPr>
        <w:t>与实</w:t>
      </w:r>
      <w:r>
        <w:rPr>
          <w:rFonts w:hint="eastAsia" w:ascii="仿宋_GB2312" w:hAnsi="宋体" w:eastAsia="仿宋_GB2312" w:cs="宋体"/>
          <w:kern w:val="0"/>
          <w:sz w:val="32"/>
          <w:szCs w:val="32"/>
          <w:shd w:val="clear" w:color="auto" w:fill="FFFFFF"/>
          <w:lang w:val="en-US" w:eastAsia="zh-CN" w:bidi="ar-SA"/>
        </w:rPr>
        <w:t>施和教学目标实现，要仔细研读课程标准，结合教育教学理念、新课标、教材、教参、教学资料等，按全书、各部分教材、章节等逐层进行分析。学情分析是指对学生在学习方面有何特点、学习方法怎样、习惯怎样、兴趣如何，成绩如何等的分析，包括对教学方法和学法指导，以及对教学设想的分析。</w:t>
      </w:r>
    </w:p>
    <w:p w14:paraId="2433B886">
      <w:pPr>
        <w:keepNext w:val="0"/>
        <w:keepLines w:val="0"/>
        <w:pageBreakBefore w:val="0"/>
        <w:widowControl/>
        <w:kinsoku/>
        <w:wordWrap/>
        <w:overflowPunct/>
        <w:topLinePunct w:val="0"/>
        <w:autoSpaceDE w:val="0"/>
        <w:autoSpaceDN w:val="0"/>
        <w:bidi w:val="0"/>
        <w:adjustRightInd w:val="0"/>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（2）教学目标</w:t>
      </w:r>
      <w:r>
        <w:rPr>
          <w:rFonts w:hint="eastAsia" w:ascii="仿宋_GB2312" w:hAnsi="宋体" w:eastAsia="仿宋_GB2312" w:cs="宋体"/>
          <w:kern w:val="0"/>
          <w:sz w:val="32"/>
          <w:szCs w:val="32"/>
          <w:lang w:eastAsia="zh-CN"/>
        </w:rPr>
        <w:t>：</w:t>
      </w:r>
      <w:r>
        <w:rPr>
          <w:rFonts w:hint="eastAsia" w:ascii="仿宋_GB2312" w:hAnsi="宋体" w:eastAsia="仿宋_GB2312" w:cs="宋体"/>
          <w:sz w:val="32"/>
          <w:szCs w:val="32"/>
          <w:shd w:val="clear" w:color="auto" w:fill="FFFFFF"/>
        </w:rPr>
        <w:t>教学目标是指教学活动实施的方向和预期达成的结果</w:t>
      </w:r>
      <w:r>
        <w:rPr>
          <w:rFonts w:hint="eastAsia" w:ascii="仿宋_GB2312" w:hAnsi="宋体" w:eastAsia="仿宋_GB2312" w:cs="宋体"/>
          <w:kern w:val="0"/>
          <w:sz w:val="32"/>
          <w:szCs w:val="32"/>
        </w:rPr>
        <w:t>。包括知识目标、能力目标和素养目标。制定目标要准确，按教学大纲要求，分解目标，制定课时；要求数量适度，符合教学要求；行为动词运用恰当准确。</w:t>
      </w:r>
    </w:p>
    <w:p w14:paraId="35373E3B">
      <w:pPr>
        <w:keepNext w:val="0"/>
        <w:keepLines w:val="0"/>
        <w:pageBreakBefore w:val="0"/>
        <w:widowControl/>
        <w:kinsoku/>
        <w:wordWrap/>
        <w:overflowPunct/>
        <w:topLinePunct w:val="0"/>
        <w:autoSpaceDE w:val="0"/>
        <w:autoSpaceDN w:val="0"/>
        <w:bidi w:val="0"/>
        <w:adjustRightInd w:val="0"/>
        <w:spacing w:line="500" w:lineRule="exact"/>
        <w:ind w:firstLine="726" w:firstLineChars="227"/>
        <w:rPr>
          <w:rFonts w:hint="eastAsia" w:ascii="仿宋_GB2312" w:hAnsi="宋体" w:eastAsia="仿宋_GB2312" w:cs="宋体"/>
          <w:color w:val="000000" w:themeColor="text1"/>
          <w:sz w:val="32"/>
          <w:szCs w:val="32"/>
          <w:shd w:val="clear" w:color="auto" w:fill="FFFFFF"/>
          <w14:textFill>
            <w14:solidFill>
              <w14:schemeClr w14:val="tx1"/>
            </w14:solidFill>
          </w14:textFill>
        </w:rPr>
      </w:pPr>
      <w:r>
        <w:rPr>
          <w:rFonts w:hint="eastAsia" w:ascii="仿宋_GB2312" w:hAnsi="宋体" w:eastAsia="仿宋_GB2312" w:cs="宋体"/>
          <w:kern w:val="0"/>
          <w:sz w:val="32"/>
          <w:szCs w:val="32"/>
        </w:rPr>
        <w:t>（3）教学重点：</w:t>
      </w:r>
      <w:r>
        <w:rPr>
          <w:rFonts w:hint="eastAsia" w:ascii="仿宋_GB2312" w:hAnsi="宋体" w:eastAsia="仿宋_GB2312" w:cs="宋体"/>
          <w:sz w:val="32"/>
          <w:szCs w:val="32"/>
          <w:shd w:val="clear" w:color="auto" w:fill="FFFFFF"/>
        </w:rPr>
        <w:t>是依据教学目标，</w:t>
      </w:r>
      <w:r>
        <w:rPr>
          <w:rFonts w:hint="eastAsia" w:ascii="仿宋_GB2312" w:hAnsi="宋体" w:eastAsia="仿宋_GB2312" w:cs="宋体"/>
          <w:color w:val="000000" w:themeColor="text1"/>
          <w:sz w:val="32"/>
          <w:szCs w:val="32"/>
          <w:shd w:val="clear" w:color="auto" w:fill="FFFFFF"/>
          <w14:textFill>
            <w14:solidFill>
              <w14:schemeClr w14:val="tx1"/>
            </w14:solidFill>
          </w14:textFill>
        </w:rPr>
        <w:t>在对教材进行</w:t>
      </w:r>
      <w:r>
        <w:fldChar w:fldCharType="begin"/>
      </w:r>
      <w:r>
        <w:instrText xml:space="preserve"> HYPERLINK "https://baike.so.com/doc/9803757.html" \t "https://baike.so.com/doc/_blank" </w:instrText>
      </w:r>
      <w:r>
        <w:fldChar w:fldCharType="separate"/>
      </w:r>
      <w:r>
        <w:rPr>
          <w:rStyle w:val="9"/>
          <w:rFonts w:hint="eastAsia" w:ascii="仿宋_GB2312" w:hAnsi="宋体" w:eastAsia="仿宋_GB2312" w:cs="宋体"/>
          <w:color w:val="000000" w:themeColor="text1"/>
          <w:sz w:val="32"/>
          <w:szCs w:val="32"/>
          <w:u w:val="none"/>
          <w:shd w:val="clear" w:color="auto" w:fill="FFFFFF"/>
          <w14:textFill>
            <w14:solidFill>
              <w14:schemeClr w14:val="tx1"/>
            </w14:solidFill>
          </w14:textFill>
        </w:rPr>
        <w:t>科学分析</w:t>
      </w:r>
      <w:r>
        <w:rPr>
          <w:rStyle w:val="9"/>
          <w:rFonts w:hint="eastAsia" w:ascii="仿宋_GB2312" w:hAnsi="宋体" w:eastAsia="仿宋_GB2312" w:cs="宋体"/>
          <w:color w:val="000000" w:themeColor="text1"/>
          <w:sz w:val="32"/>
          <w:szCs w:val="32"/>
          <w:u w:val="none"/>
          <w:shd w:val="clear" w:color="auto" w:fill="FFFFFF"/>
          <w14:textFill>
            <w14:solidFill>
              <w14:schemeClr w14:val="tx1"/>
            </w14:solidFill>
          </w14:textFill>
        </w:rPr>
        <w:fldChar w:fldCharType="end"/>
      </w:r>
      <w:r>
        <w:rPr>
          <w:rFonts w:hint="eastAsia" w:ascii="仿宋_GB2312" w:hAnsi="宋体" w:eastAsia="仿宋_GB2312" w:cs="宋体"/>
          <w:color w:val="000000" w:themeColor="text1"/>
          <w:sz w:val="32"/>
          <w:szCs w:val="32"/>
          <w:shd w:val="clear" w:color="auto" w:fill="FFFFFF"/>
          <w14:textFill>
            <w14:solidFill>
              <w14:schemeClr w14:val="tx1"/>
            </w14:solidFill>
          </w14:textFill>
        </w:rPr>
        <w:t>的基础上而确定的最基本、最核心的教学内容。</w:t>
      </w:r>
    </w:p>
    <w:p w14:paraId="613B2F69">
      <w:pPr>
        <w:keepNext w:val="0"/>
        <w:keepLines w:val="0"/>
        <w:pageBreakBefore w:val="0"/>
        <w:widowControl/>
        <w:kinsoku/>
        <w:wordWrap/>
        <w:overflowPunct/>
        <w:topLinePunct w:val="0"/>
        <w:autoSpaceDE w:val="0"/>
        <w:autoSpaceDN w:val="0"/>
        <w:bidi w:val="0"/>
        <w:adjustRightInd w:val="0"/>
        <w:spacing w:line="500" w:lineRule="exact"/>
        <w:ind w:firstLine="640" w:firstLineChars="200"/>
        <w:rPr>
          <w:rFonts w:hint="eastAsia" w:ascii="仿宋_GB2312" w:hAnsi="宋体" w:eastAsia="仿宋_GB2312" w:cs="宋体"/>
          <w:color w:val="000000" w:themeColor="text1"/>
          <w:sz w:val="32"/>
          <w:szCs w:val="32"/>
          <w:shd w:val="clear" w:color="auto" w:fill="FFFFFF"/>
          <w14:textFill>
            <w14:solidFill>
              <w14:schemeClr w14:val="tx1"/>
            </w14:solidFill>
          </w14:textFill>
        </w:rPr>
      </w:pPr>
      <w:r>
        <w:rPr>
          <w:rFonts w:hint="eastAsia" w:ascii="仿宋_GB2312" w:hAnsi="宋体" w:eastAsia="仿宋_GB2312" w:cs="宋体"/>
          <w:color w:val="000000" w:themeColor="text1"/>
          <w:sz w:val="32"/>
          <w:szCs w:val="32"/>
          <w:shd w:val="clear" w:color="auto" w:fill="FFFFFF"/>
          <w14:textFill>
            <w14:solidFill>
              <w14:schemeClr w14:val="tx1"/>
            </w14:solidFill>
          </w14:textFill>
        </w:rPr>
        <w:t>（4）教学难点：是指学生不易理解的知识，或不易掌握的技能技巧。</w:t>
      </w:r>
    </w:p>
    <w:p w14:paraId="6E425E38">
      <w:pPr>
        <w:keepNext w:val="0"/>
        <w:keepLines w:val="0"/>
        <w:pageBreakBefore w:val="0"/>
        <w:widowControl/>
        <w:kinsoku/>
        <w:wordWrap/>
        <w:overflowPunct/>
        <w:topLinePunct w:val="0"/>
        <w:autoSpaceDE w:val="0"/>
        <w:autoSpaceDN w:val="0"/>
        <w:bidi w:val="0"/>
        <w:adjustRightInd w:val="0"/>
        <w:spacing w:line="500" w:lineRule="exact"/>
        <w:ind w:firstLine="640" w:firstLineChars="200"/>
        <w:rPr>
          <w:rFonts w:hint="eastAsia" w:ascii="仿宋_GB2312" w:hAnsi="宋体" w:eastAsia="仿宋_GB2312" w:cs="宋体"/>
          <w:sz w:val="32"/>
          <w:szCs w:val="32"/>
          <w:shd w:val="clear" w:color="auto" w:fill="FFFFFF"/>
        </w:rPr>
      </w:pPr>
      <w:r>
        <w:rPr>
          <w:rFonts w:hint="eastAsia" w:ascii="仿宋_GB2312" w:hAnsi="宋体" w:eastAsia="仿宋_GB2312" w:cs="宋体"/>
          <w:color w:val="000000" w:themeColor="text1"/>
          <w:sz w:val="32"/>
          <w:szCs w:val="32"/>
          <w:shd w:val="clear" w:color="auto" w:fill="FFFFFF"/>
          <w14:textFill>
            <w14:solidFill>
              <w14:schemeClr w14:val="tx1"/>
            </w14:solidFill>
          </w14:textFill>
        </w:rPr>
        <w:t>（5）教学策略：是实施</w:t>
      </w:r>
      <w:r>
        <w:fldChar w:fldCharType="begin"/>
      </w:r>
      <w:r>
        <w:instrText xml:space="preserve"> HYPERLINK "https://baike.so.com/doc/6213982-6427255.html" \t "https://baike.so.com/doc/_blank" </w:instrText>
      </w:r>
      <w:r>
        <w:fldChar w:fldCharType="separate"/>
      </w:r>
      <w:r>
        <w:rPr>
          <w:rStyle w:val="9"/>
          <w:rFonts w:hint="eastAsia" w:ascii="仿宋_GB2312" w:hAnsi="宋体" w:eastAsia="仿宋_GB2312" w:cs="宋体"/>
          <w:color w:val="000000" w:themeColor="text1"/>
          <w:sz w:val="32"/>
          <w:szCs w:val="32"/>
          <w:u w:val="none"/>
          <w:shd w:val="clear" w:color="auto" w:fill="FFFFFF"/>
          <w14:textFill>
            <w14:solidFill>
              <w14:schemeClr w14:val="tx1"/>
            </w14:solidFill>
          </w14:textFill>
        </w:rPr>
        <w:t>教学过程</w:t>
      </w:r>
      <w:r>
        <w:rPr>
          <w:rStyle w:val="9"/>
          <w:rFonts w:hint="eastAsia" w:ascii="仿宋_GB2312" w:hAnsi="宋体" w:eastAsia="仿宋_GB2312" w:cs="宋体"/>
          <w:color w:val="000000" w:themeColor="text1"/>
          <w:sz w:val="32"/>
          <w:szCs w:val="32"/>
          <w:u w:val="none"/>
          <w:shd w:val="clear" w:color="auto" w:fill="FFFFFF"/>
          <w14:textFill>
            <w14:solidFill>
              <w14:schemeClr w14:val="tx1"/>
            </w14:solidFill>
          </w14:textFill>
        </w:rPr>
        <w:fldChar w:fldCharType="end"/>
      </w:r>
      <w:r>
        <w:rPr>
          <w:rFonts w:hint="eastAsia" w:ascii="仿宋_GB2312" w:hAnsi="宋体" w:eastAsia="仿宋_GB2312" w:cs="宋体"/>
          <w:color w:val="000000" w:themeColor="text1"/>
          <w:sz w:val="32"/>
          <w:szCs w:val="32"/>
          <w:shd w:val="clear" w:color="auto" w:fill="FFFFFF"/>
          <w14:textFill>
            <w14:solidFill>
              <w14:schemeClr w14:val="tx1"/>
            </w14:solidFill>
          </w14:textFill>
        </w:rPr>
        <w:t>的教学思想</w:t>
      </w:r>
      <w:r>
        <w:rPr>
          <w:rFonts w:hint="eastAsia" w:ascii="仿宋_GB2312" w:hAnsi="宋体" w:eastAsia="仿宋_GB2312" w:cs="宋体"/>
          <w:sz w:val="32"/>
          <w:szCs w:val="32"/>
          <w:shd w:val="clear" w:color="auto" w:fill="FFFFFF"/>
        </w:rPr>
        <w:t>、方法模式、技术手段这三方面动因的简单集成，是教学思维对其三方面动因的进行思维策略加工而形成的方法模式。</w:t>
      </w:r>
    </w:p>
    <w:p w14:paraId="38B9DD05">
      <w:pPr>
        <w:keepNext w:val="0"/>
        <w:keepLines w:val="0"/>
        <w:pageBreakBefore w:val="0"/>
        <w:widowControl/>
        <w:kinsoku/>
        <w:wordWrap/>
        <w:overflowPunct/>
        <w:topLinePunct w:val="0"/>
        <w:autoSpaceDE w:val="0"/>
        <w:autoSpaceDN w:val="0"/>
        <w:bidi w:val="0"/>
        <w:adjustRightInd w:val="0"/>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6</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教学资源</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教学资源是指完成教学目标所需的一切材料，如教学参考资料、教具、仪器设备、药品、动物、电教设备等。教学资源的选择要体现直观实用的特点。</w:t>
      </w:r>
    </w:p>
    <w:p w14:paraId="57E7E1AE">
      <w:pPr>
        <w:keepNext w:val="0"/>
        <w:keepLines w:val="0"/>
        <w:pageBreakBefore w:val="0"/>
        <w:widowControl/>
        <w:kinsoku/>
        <w:wordWrap/>
        <w:overflowPunct/>
        <w:topLinePunct w:val="0"/>
        <w:autoSpaceDE w:val="0"/>
        <w:autoSpaceDN w:val="0"/>
        <w:bidi w:val="0"/>
        <w:adjustRightInd w:val="0"/>
        <w:spacing w:line="500" w:lineRule="exact"/>
        <w:ind w:firstLine="726" w:firstLineChars="227"/>
        <w:rPr>
          <w:rFonts w:hint="eastAsia" w:ascii="仿宋_GB2312" w:hAnsi="宋体" w:eastAsia="仿宋_GB2312" w:cs="宋体"/>
          <w:kern w:val="0"/>
          <w:sz w:val="32"/>
          <w:szCs w:val="32"/>
        </w:rPr>
      </w:pPr>
      <w:r>
        <w:rPr>
          <w:rFonts w:hint="eastAsia" w:ascii="仿宋_GB2312" w:hAnsi="宋体" w:eastAsia="仿宋_GB2312" w:cs="宋体"/>
          <w:kern w:val="0"/>
          <w:sz w:val="32"/>
          <w:szCs w:val="32"/>
        </w:rPr>
        <w:t>（7）教学过程：</w:t>
      </w:r>
      <w:r>
        <w:rPr>
          <w:rFonts w:hint="eastAsia" w:ascii="仿宋_GB2312" w:hAnsi="宋体" w:eastAsia="仿宋_GB2312" w:cs="宋体"/>
          <w:sz w:val="32"/>
          <w:szCs w:val="32"/>
          <w:shd w:val="clear" w:color="auto" w:fill="FFFFFF"/>
        </w:rPr>
        <w:t>是</w:t>
      </w:r>
      <w:r>
        <w:rPr>
          <w:rFonts w:hint="eastAsia" w:ascii="仿宋_GB2312" w:hAnsi="宋体" w:eastAsia="仿宋_GB2312" w:cs="宋体"/>
          <w:color w:val="000000" w:themeColor="text1"/>
          <w:sz w:val="32"/>
          <w:szCs w:val="32"/>
          <w:shd w:val="clear" w:color="auto" w:fill="FFFFFF"/>
          <w14:textFill>
            <w14:solidFill>
              <w14:schemeClr w14:val="tx1"/>
            </w14:solidFill>
          </w14:textFill>
        </w:rPr>
        <w:t>指</w:t>
      </w:r>
      <w:r>
        <w:fldChar w:fldCharType="begin"/>
      </w:r>
      <w:r>
        <w:instrText xml:space="preserve"> HYPERLINK "https://baike.so.com/doc/6213699-6426971.html" \t "https://baike.so.com/doc/_blank" </w:instrText>
      </w:r>
      <w:r>
        <w:fldChar w:fldCharType="separate"/>
      </w:r>
      <w:r>
        <w:rPr>
          <w:rStyle w:val="9"/>
          <w:rFonts w:hint="eastAsia" w:ascii="仿宋_GB2312" w:hAnsi="宋体" w:eastAsia="仿宋_GB2312" w:cs="宋体"/>
          <w:color w:val="000000" w:themeColor="text1"/>
          <w:sz w:val="32"/>
          <w:szCs w:val="32"/>
          <w:u w:val="none"/>
          <w:shd w:val="clear" w:color="auto" w:fill="FFFFFF"/>
          <w14:textFill>
            <w14:solidFill>
              <w14:schemeClr w14:val="tx1"/>
            </w14:solidFill>
          </w14:textFill>
        </w:rPr>
        <w:t>教学活动</w:t>
      </w:r>
      <w:r>
        <w:rPr>
          <w:rStyle w:val="9"/>
          <w:rFonts w:hint="eastAsia" w:ascii="仿宋_GB2312" w:hAnsi="宋体" w:eastAsia="仿宋_GB2312" w:cs="宋体"/>
          <w:color w:val="000000" w:themeColor="text1"/>
          <w:sz w:val="32"/>
          <w:szCs w:val="32"/>
          <w:u w:val="none"/>
          <w:shd w:val="clear" w:color="auto" w:fill="FFFFFF"/>
          <w14:textFill>
            <w14:solidFill>
              <w14:schemeClr w14:val="tx1"/>
            </w14:solidFill>
          </w14:textFill>
        </w:rPr>
        <w:fldChar w:fldCharType="end"/>
      </w:r>
      <w:r>
        <w:rPr>
          <w:rFonts w:hint="eastAsia" w:ascii="仿宋_GB2312" w:hAnsi="宋体" w:eastAsia="仿宋_GB2312" w:cs="宋体"/>
          <w:color w:val="000000" w:themeColor="text1"/>
          <w:sz w:val="32"/>
          <w:szCs w:val="32"/>
          <w:shd w:val="clear" w:color="auto" w:fill="FFFFFF"/>
          <w14:textFill>
            <w14:solidFill>
              <w14:schemeClr w14:val="tx1"/>
            </w14:solidFill>
          </w14:textFill>
        </w:rPr>
        <w:t>的</w:t>
      </w:r>
      <w:r>
        <w:rPr>
          <w:rFonts w:hint="eastAsia" w:ascii="仿宋_GB2312" w:hAnsi="宋体" w:eastAsia="仿宋_GB2312" w:cs="宋体"/>
          <w:sz w:val="32"/>
          <w:szCs w:val="32"/>
          <w:shd w:val="clear" w:color="auto" w:fill="FFFFFF"/>
        </w:rPr>
        <w:t>展开过程，</w:t>
      </w:r>
      <w:r>
        <w:rPr>
          <w:rFonts w:hint="eastAsia" w:ascii="仿宋_GB2312" w:hAnsi="宋体" w:eastAsia="仿宋_GB2312" w:cs="宋体"/>
          <w:kern w:val="0"/>
          <w:sz w:val="32"/>
          <w:szCs w:val="32"/>
        </w:rPr>
        <w:t>包含教学环节、教学活动、学生活动和设计意图。</w:t>
      </w:r>
    </w:p>
    <w:p w14:paraId="039CA327">
      <w:pPr>
        <w:keepNext w:val="0"/>
        <w:keepLines w:val="0"/>
        <w:pageBreakBefore w:val="0"/>
        <w:widowControl/>
        <w:kinsoku/>
        <w:wordWrap/>
        <w:overflowPunct/>
        <w:topLinePunct w:val="0"/>
        <w:autoSpaceDE w:val="0"/>
        <w:autoSpaceDN w:val="0"/>
        <w:bidi w:val="0"/>
        <w:adjustRightInd w:val="0"/>
        <w:spacing w:line="500" w:lineRule="exact"/>
        <w:ind w:firstLine="726" w:firstLineChars="227"/>
        <w:rPr>
          <w:rFonts w:hint="eastAsia" w:ascii="仿宋_GB2312" w:hAnsi="宋体" w:eastAsia="仿宋_GB2312" w:cs="宋体"/>
          <w:kern w:val="0"/>
          <w:sz w:val="32"/>
          <w:szCs w:val="32"/>
        </w:rPr>
      </w:pPr>
      <w:r>
        <w:rPr>
          <w:rFonts w:hint="eastAsia" w:ascii="仿宋_GB2312" w:hAnsi="宋体" w:eastAsia="仿宋_GB2312" w:cs="宋体"/>
          <w:kern w:val="0"/>
          <w:sz w:val="32"/>
          <w:szCs w:val="32"/>
        </w:rPr>
        <w:t>（8）教学环节：要合理分配每个教学环节的时间，在所有教学环节后面都要注明所需时间。对重要及难度大的内容，在时间安排上予以侧重。</w:t>
      </w:r>
    </w:p>
    <w:p w14:paraId="0768B67B">
      <w:pPr>
        <w:keepNext w:val="0"/>
        <w:keepLines w:val="0"/>
        <w:pageBreakBefore w:val="0"/>
        <w:widowControl/>
        <w:kinsoku/>
        <w:wordWrap/>
        <w:overflowPunct/>
        <w:topLinePunct w:val="0"/>
        <w:autoSpaceDE w:val="0"/>
        <w:autoSpaceDN w:val="0"/>
        <w:bidi w:val="0"/>
        <w:adjustRightInd w:val="0"/>
        <w:spacing w:line="500" w:lineRule="exact"/>
        <w:ind w:firstLine="726" w:firstLineChars="227"/>
        <w:rPr>
          <w:rFonts w:hint="eastAsia" w:ascii="仿宋_GB2312" w:hAnsi="宋体" w:eastAsia="仿宋_GB2312" w:cs="宋体"/>
          <w:kern w:val="0"/>
          <w:sz w:val="32"/>
          <w:szCs w:val="32"/>
        </w:rPr>
      </w:pPr>
      <w:r>
        <w:rPr>
          <w:rFonts w:hint="eastAsia" w:ascii="仿宋_GB2312" w:hAnsi="宋体" w:eastAsia="仿宋_GB2312" w:cs="宋体"/>
          <w:kern w:val="0"/>
          <w:sz w:val="32"/>
          <w:szCs w:val="32"/>
        </w:rPr>
        <w:t>（9）教学活动</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教学活动是指为完成课时目标所选择的教学方法、学法指导、达标检测措施，是教案的重要环节。围绕目标所设计的活动，精讲</w:t>
      </w:r>
      <w:r>
        <w:rPr>
          <w:rFonts w:hint="eastAsia" w:ascii="仿宋_GB2312" w:hAnsi="宋体" w:eastAsia="仿宋_GB2312" w:cs="宋体"/>
          <w:kern w:val="0"/>
          <w:sz w:val="32"/>
          <w:szCs w:val="32"/>
          <w:lang w:eastAsia="zh-CN"/>
        </w:rPr>
        <w:t>点拨</w:t>
      </w:r>
      <w:r>
        <w:rPr>
          <w:rFonts w:hint="eastAsia" w:ascii="仿宋_GB2312" w:hAnsi="宋体" w:eastAsia="仿宋_GB2312" w:cs="宋体"/>
          <w:kern w:val="0"/>
          <w:sz w:val="32"/>
          <w:szCs w:val="32"/>
        </w:rPr>
        <w:t>的内容，能体现教师教学的创造性，贯彻教法与学法，展现目标达到的过程及时间安排。</w:t>
      </w:r>
    </w:p>
    <w:p w14:paraId="5930373F">
      <w:pPr>
        <w:keepNext w:val="0"/>
        <w:keepLines w:val="0"/>
        <w:pageBreakBefore w:val="0"/>
        <w:widowControl/>
        <w:kinsoku/>
        <w:wordWrap/>
        <w:overflowPunct/>
        <w:topLinePunct w:val="0"/>
        <w:autoSpaceDE w:val="0"/>
        <w:autoSpaceDN w:val="0"/>
        <w:bidi w:val="0"/>
        <w:adjustRightInd w:val="0"/>
        <w:spacing w:line="500" w:lineRule="exact"/>
        <w:ind w:firstLine="726" w:firstLineChars="227"/>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（10）教学反思：</w:t>
      </w:r>
      <w:r>
        <w:rPr>
          <w:rFonts w:hint="eastAsia" w:ascii="仿宋_GB2312" w:hAnsi="宋体" w:eastAsia="仿宋_GB2312" w:cs="宋体"/>
          <w:sz w:val="32"/>
          <w:szCs w:val="32"/>
          <w:shd w:val="clear" w:color="auto" w:fill="FFFFFF"/>
        </w:rPr>
        <w:t>是指教师对</w:t>
      </w:r>
      <w:r>
        <w:fldChar w:fldCharType="begin"/>
      </w:r>
      <w:r>
        <w:instrText xml:space="preserve"> HYPERLINK "https://baike.so.com/doc/5338309-5573749.html" \t "https://baike.so.com/doc/_blank" </w:instrText>
      </w:r>
      <w:r>
        <w:fldChar w:fldCharType="separate"/>
      </w:r>
      <w:r>
        <w:rPr>
          <w:rStyle w:val="9"/>
          <w:rFonts w:hint="eastAsia" w:ascii="仿宋_GB2312" w:hAnsi="宋体" w:eastAsia="仿宋_GB2312" w:cs="宋体"/>
          <w:color w:val="000000" w:themeColor="text1"/>
          <w:sz w:val="32"/>
          <w:szCs w:val="32"/>
          <w:u w:val="none"/>
          <w:shd w:val="clear" w:color="auto" w:fill="FFFFFF"/>
          <w14:textFill>
            <w14:solidFill>
              <w14:schemeClr w14:val="tx1"/>
            </w14:solidFill>
          </w14:textFill>
        </w:rPr>
        <w:t>教育</w:t>
      </w:r>
      <w:r>
        <w:rPr>
          <w:rStyle w:val="9"/>
          <w:rFonts w:hint="eastAsia" w:ascii="仿宋_GB2312" w:hAnsi="宋体" w:eastAsia="仿宋_GB2312" w:cs="宋体"/>
          <w:color w:val="000000" w:themeColor="text1"/>
          <w:sz w:val="32"/>
          <w:szCs w:val="32"/>
          <w:u w:val="none"/>
          <w:shd w:val="clear" w:color="auto" w:fill="FFFFFF"/>
          <w14:textFill>
            <w14:solidFill>
              <w14:schemeClr w14:val="tx1"/>
            </w14:solidFill>
          </w14:textFill>
        </w:rPr>
        <w:fldChar w:fldCharType="end"/>
      </w:r>
      <w:r>
        <w:rPr>
          <w:rFonts w:hint="eastAsia" w:ascii="仿宋_GB2312" w:hAnsi="宋体" w:eastAsia="仿宋_GB2312" w:cs="宋体"/>
          <w:sz w:val="32"/>
          <w:szCs w:val="32"/>
          <w:shd w:val="clear" w:color="auto" w:fill="FFFFFF"/>
        </w:rPr>
        <w:t>教学实践的再认识、再思考，并以此来总结经验教训，进一步提高教育教学水平</w:t>
      </w:r>
      <w:r>
        <w:rPr>
          <w:rFonts w:hint="eastAsia" w:ascii="仿宋_GB2312" w:hAnsi="宋体" w:eastAsia="仿宋_GB2312" w:cs="宋体"/>
          <w:kern w:val="0"/>
          <w:sz w:val="32"/>
          <w:szCs w:val="32"/>
        </w:rPr>
        <w:t>，包括对本课堂教学情况的小结，即本次课的优点、不足和教学改进意见，如目标制定是否恰当、教学活动设计是否实用、测评形式是否得当等。</w:t>
      </w:r>
    </w:p>
    <w:p w14:paraId="0A7E35B9">
      <w:pPr>
        <w:keepNext w:val="0"/>
        <w:keepLines w:val="0"/>
        <w:pageBreakBefore w:val="0"/>
        <w:kinsoku/>
        <w:wordWrap/>
        <w:overflowPunct/>
        <w:topLinePunct w:val="0"/>
        <w:bidi w:val="0"/>
        <w:spacing w:line="50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二、讲课</w:t>
      </w:r>
    </w:p>
    <w:p w14:paraId="1E78BED1">
      <w:pPr>
        <w:keepNext w:val="0"/>
        <w:keepLines w:val="0"/>
        <w:pageBreakBefore w:val="0"/>
        <w:kinsoku/>
        <w:wordWrap/>
        <w:overflowPunct/>
        <w:topLinePunct w:val="0"/>
        <w:bidi w:val="0"/>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1.讲课是教师给学生传授知识的主要形式之一，是直接关系教学质量的重要环节。教师应在备好课的基础上，遵循教学原则和规律，运用有效的教学方法和手段，讲好每一次课。</w:t>
      </w:r>
    </w:p>
    <w:p w14:paraId="1CA08896">
      <w:pPr>
        <w:keepNext w:val="0"/>
        <w:keepLines w:val="0"/>
        <w:pageBreakBefore w:val="0"/>
        <w:kinsoku/>
        <w:wordWrap/>
        <w:overflowPunct/>
        <w:topLinePunct w:val="0"/>
        <w:bidi w:val="0"/>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教师上课应做到：教态端庄，举止大方，着装整洁，精神饱满，爱护学生。严格课堂纪律，注意学生出勤，做到为人师表、教书育人。争做“有理想信念、有道德情操、有扎实知识、有仁爱之心”的“四有”老师。</w:t>
      </w:r>
    </w:p>
    <w:p w14:paraId="1145BE5A">
      <w:pPr>
        <w:keepNext w:val="0"/>
        <w:keepLines w:val="0"/>
        <w:pageBreakBefore w:val="0"/>
        <w:kinsoku/>
        <w:wordWrap/>
        <w:overflowPunct/>
        <w:topLinePunct w:val="0"/>
        <w:bidi w:val="0"/>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3.提倡教法改革，大胆使用新的教学法，充分发挥以教师为主导，以学生为主体，师生互动的作用，搞好启发式教学，</w:t>
      </w:r>
      <w:r>
        <w:rPr>
          <w:rFonts w:hint="eastAsia" w:ascii="仿宋_GB2312" w:hAnsi="宋体" w:eastAsia="仿宋_GB2312" w:cs="宋体"/>
          <w:kern w:val="0"/>
          <w:sz w:val="32"/>
          <w:szCs w:val="32"/>
        </w:rPr>
        <w:t>充分利用信息化教学方式，</w:t>
      </w:r>
      <w:r>
        <w:rPr>
          <w:rFonts w:hint="eastAsia" w:ascii="仿宋_GB2312" w:hAnsi="宋体" w:eastAsia="仿宋_GB2312" w:cs="宋体"/>
          <w:sz w:val="32"/>
          <w:szCs w:val="32"/>
        </w:rPr>
        <w:t>培养学生的自学能力、创新能力、分析问题和解决问题的能力。</w:t>
      </w:r>
    </w:p>
    <w:p w14:paraId="4487B5C8">
      <w:pPr>
        <w:keepNext w:val="0"/>
        <w:keepLines w:val="0"/>
        <w:pageBreakBefore w:val="0"/>
        <w:kinsoku/>
        <w:wordWrap/>
        <w:overflowPunct/>
        <w:topLinePunct w:val="0"/>
        <w:bidi w:val="0"/>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4.课堂教学要求目标明确，观点正确，内容熟练，突出重点，化解难点；提倡讲普通话，语言正确、简练，生动有趣；板书、板画规范；组织教学严密。</w:t>
      </w:r>
    </w:p>
    <w:p w14:paraId="58FD9C73">
      <w:pPr>
        <w:keepNext w:val="0"/>
        <w:keepLines w:val="0"/>
        <w:pageBreakBefore w:val="0"/>
        <w:kinsoku/>
        <w:wordWrap/>
        <w:overflowPunct/>
        <w:topLinePunct w:val="0"/>
        <w:bidi w:val="0"/>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5.教师应做到不迟到，不提前下课，不拖堂。教师缺课误课要按教学事故严肃处理。</w:t>
      </w:r>
    </w:p>
    <w:p w14:paraId="75F9E54E">
      <w:pPr>
        <w:keepNext w:val="0"/>
        <w:keepLines w:val="0"/>
        <w:pageBreakBefore w:val="0"/>
        <w:kinsoku/>
        <w:wordWrap/>
        <w:overflowPunct/>
        <w:topLinePunct w:val="0"/>
        <w:bidi w:val="0"/>
        <w:spacing w:line="50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三、作业</w:t>
      </w:r>
      <w:bookmarkStart w:id="0" w:name="_GoBack"/>
      <w:bookmarkEnd w:id="0"/>
    </w:p>
    <w:p w14:paraId="505284A9">
      <w:pPr>
        <w:keepNext w:val="0"/>
        <w:keepLines w:val="0"/>
        <w:pageBreakBefore w:val="0"/>
        <w:kinsoku/>
        <w:wordWrap/>
        <w:overflowPunct/>
        <w:topLinePunct w:val="0"/>
        <w:bidi w:val="0"/>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作业是学生巩固所学知识，形成技能技巧，提高分析问题和解决问题能力的重要手段，也是检查教学效果，督促学生学习的重要方法。任课教师应重视作业练习，精心选题，及时布置，认真批改，客观讲评，使作业练习收到预期的效果。</w:t>
      </w:r>
    </w:p>
    <w:p w14:paraId="1075DF23">
      <w:pPr>
        <w:keepNext w:val="0"/>
        <w:keepLines w:val="0"/>
        <w:pageBreakBefore w:val="0"/>
        <w:kinsoku/>
        <w:wordWrap/>
        <w:overflowPunct/>
        <w:topLinePunct w:val="0"/>
        <w:bidi w:val="0"/>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1.作业应有明确的目的和要求，深度广度适当，数量适中。作业内容要体现教学大纲的要求和本门课的特点。教师应注意督促学生按时完成作业。</w:t>
      </w:r>
    </w:p>
    <w:p w14:paraId="45601369">
      <w:pPr>
        <w:keepNext w:val="0"/>
        <w:keepLines w:val="0"/>
        <w:pageBreakBefore w:val="0"/>
        <w:kinsoku/>
        <w:wordWrap/>
        <w:overflowPunct/>
        <w:topLinePunct w:val="0"/>
        <w:bidi w:val="0"/>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2.教师批改作业应有记录，认真分析作业中出现的问题，作为讲评的依据和改进教学的参考。</w:t>
      </w:r>
    </w:p>
    <w:p w14:paraId="07A3EFB9">
      <w:pPr>
        <w:keepNext w:val="0"/>
        <w:keepLines w:val="0"/>
        <w:pageBreakBefore w:val="0"/>
        <w:kinsoku/>
        <w:wordWrap/>
        <w:overflowPunct/>
        <w:topLinePunct w:val="0"/>
        <w:bidi w:val="0"/>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3.通过课堂操作练习，可比较准确地反映学生掌握知识的程度和存在的问题，对改进教学有较大价值。</w:t>
      </w:r>
    </w:p>
    <w:p w14:paraId="6AEF41F7">
      <w:pPr>
        <w:keepNext w:val="0"/>
        <w:keepLines w:val="0"/>
        <w:pageBreakBefore w:val="0"/>
        <w:kinsoku/>
        <w:wordWrap/>
        <w:overflowPunct/>
        <w:topLinePunct w:val="0"/>
        <w:bidi w:val="0"/>
        <w:spacing w:line="50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四、辅导</w:t>
      </w:r>
    </w:p>
    <w:p w14:paraId="0BA66E77">
      <w:pPr>
        <w:keepNext w:val="0"/>
        <w:keepLines w:val="0"/>
        <w:pageBreakBefore w:val="0"/>
        <w:kinsoku/>
        <w:wordWrap/>
        <w:overflowPunct/>
        <w:topLinePunct w:val="0"/>
        <w:bidi w:val="0"/>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1.辅导是课堂讲授的必要补充措施，是解除学生疑难、指导学生自学、因材施教、保证教学效果的一个重要环节。任课教师应深入学生中，有计划、有针对性地开展多种形式的辅导活动。</w:t>
      </w:r>
    </w:p>
    <w:p w14:paraId="707AC284">
      <w:pPr>
        <w:keepNext w:val="0"/>
        <w:keepLines w:val="0"/>
        <w:pageBreakBefore w:val="0"/>
        <w:kinsoku/>
        <w:wordWrap/>
        <w:overflowPunct/>
        <w:topLinePunct w:val="0"/>
        <w:bidi w:val="0"/>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2.对学生辅导以个人进行为主，遇到普遍存在的问题时，可面向全班学生辅导。</w:t>
      </w:r>
    </w:p>
    <w:p w14:paraId="77A705B0">
      <w:pPr>
        <w:keepNext w:val="0"/>
        <w:keepLines w:val="0"/>
        <w:pageBreakBefore w:val="0"/>
        <w:kinsoku/>
        <w:wordWrap/>
        <w:overflowPunct/>
        <w:topLinePunct w:val="0"/>
        <w:bidi w:val="0"/>
        <w:spacing w:line="500" w:lineRule="exact"/>
        <w:ind w:firstLine="640" w:firstLineChars="200"/>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宋体" w:eastAsia="仿宋_GB2312" w:cs="宋体"/>
          <w:sz w:val="32"/>
          <w:szCs w:val="32"/>
        </w:rPr>
        <w:t>3.任课教师应在教学单元结束，讲授重点、难点及布置较大量作业时进行辅导。教务科要合理安排任课教师在自习时辅导。</w:t>
      </w:r>
    </w:p>
    <w:p w14:paraId="2F1C16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E9296F"/>
    <w:rsid w:val="3F3B293B"/>
    <w:rsid w:val="458B7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仿宋"/>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3">
    <w:name w:val="Body Text"/>
    <w:semiHidden/>
    <w:qFormat/>
    <w:uiPriority w:val="0"/>
    <w:pPr>
      <w:widowControl w:val="0"/>
      <w:jc w:val="both"/>
    </w:pPr>
    <w:rPr>
      <w:rFonts w:ascii="Arial" w:hAnsi="Arial" w:eastAsia="Arial" w:cs="Arial"/>
      <w:kern w:val="2"/>
      <w:sz w:val="21"/>
      <w:szCs w:val="21"/>
      <w:lang w:val="en-US" w:eastAsia="en-US" w:bidi="ar-SA"/>
    </w:rPr>
  </w:style>
  <w:style w:type="paragraph" w:styleId="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Theme="minorEastAsia" w:cstheme="minorBidi"/>
      <w:kern w:val="0"/>
      <w:sz w:val="24"/>
      <w:szCs w:val="24"/>
      <w:lang w:val="en-US" w:eastAsia="zh-CN" w:bidi="ar-SA"/>
    </w:rPr>
  </w:style>
  <w:style w:type="paragraph" w:styleId="5">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8">
    <w:name w:val="Strong"/>
    <w:qFormat/>
    <w:uiPriority w:val="0"/>
    <w:rPr>
      <w:b/>
    </w:rPr>
  </w:style>
  <w:style w:type="character" w:styleId="9">
    <w:name w:val="Hyperlink"/>
    <w:qFormat/>
    <w:uiPriority w:val="0"/>
    <w:rPr>
      <w:color w:val="0000FF"/>
      <w:u w:val="single"/>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13403</Words>
  <Characters>13567</Characters>
  <Lines>0</Lines>
  <Paragraphs>0</Paragraphs>
  <TotalTime>0</TotalTime>
  <ScaleCrop>false</ScaleCrop>
  <LinksUpToDate>false</LinksUpToDate>
  <CharactersWithSpaces>13633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2025-05-26T02:35:00Z</dcterms:created>
  <dc:creator>lenovo-pc</dc:creator>
  <cp:lastModifiedBy>momo</cp:lastModifiedBy>
  <dcterms:modified xsi:type="dcterms:W3CDTF">2025-05-26T02:46:44Z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eyJoZGlkIjoiNDU3YTM1YTYzZTBmMGVhOTllMDNkZWY3ZDI1MGU3OTQiLCJ1c2VySWQiOiIyNTkwNzQwNTkifQ==</vt:lpwstr>
  </property>
  <property fmtid="{D5CDD505-2E9C-101B-9397-08002B2CF9AE}" pid="4" name="ICV">
    <vt:lpwstr>F0E06292588F4A26839CBE033FDA0437_12</vt:lpwstr>
  </property>
</Properties>
</file>